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640"/>
        <w:gridCol w:w="5648"/>
      </w:tblGrid>
      <w:tr w:rsidR="00EE430D" w:rsidTr="00673EFE">
        <w:tc>
          <w:tcPr>
            <w:tcW w:w="3652" w:type="dxa"/>
            <w:tcBorders>
              <w:top w:val="nil"/>
              <w:left w:val="nil"/>
              <w:bottom w:val="nil"/>
              <w:right w:val="nil"/>
              <w:tl2br w:val="nil"/>
              <w:tr2bl w:val="nil"/>
            </w:tcBorders>
            <w:shd w:val="clear" w:color="auto" w:fill="auto"/>
            <w:tcMar>
              <w:top w:w="0" w:type="dxa"/>
              <w:left w:w="108" w:type="dxa"/>
              <w:bottom w:w="0" w:type="dxa"/>
              <w:right w:w="108" w:type="dxa"/>
            </w:tcMar>
          </w:tcPr>
          <w:p w:rsidR="00EE430D" w:rsidRDefault="00EE430D">
            <w:pPr>
              <w:spacing w:before="120"/>
              <w:jc w:val="center"/>
            </w:pPr>
            <w:r>
              <w:rPr>
                <w:b/>
                <w:bCs/>
              </w:rPr>
              <w:t>H</w:t>
            </w:r>
            <w:r>
              <w:rPr>
                <w:b/>
                <w:bCs/>
                <w:lang w:val="vi-VN"/>
              </w:rPr>
              <w:t>ỘI ĐỒNG NHÂN DÂN</w:t>
            </w:r>
            <w:r>
              <w:rPr>
                <w:b/>
                <w:bCs/>
              </w:rPr>
              <w:br/>
            </w:r>
            <w:r>
              <w:rPr>
                <w:b/>
                <w:bCs/>
                <w:lang w:val="vi-VN"/>
              </w:rPr>
              <w:t>THÀNH PH</w:t>
            </w:r>
            <w:r>
              <w:rPr>
                <w:b/>
                <w:bCs/>
              </w:rPr>
              <w:t xml:space="preserve">Ố </w:t>
            </w:r>
            <w:r>
              <w:rPr>
                <w:b/>
                <w:bCs/>
                <w:lang w:val="vi-VN"/>
              </w:rPr>
              <w:t>HỒ CHÍ MINH</w:t>
            </w:r>
            <w:r>
              <w:rPr>
                <w:b/>
                <w:bCs/>
                <w:lang w:val="vi-VN"/>
              </w:rPr>
              <w:br/>
              <w:t>-------</w:t>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EE430D" w:rsidRDefault="00EE430D">
            <w:pPr>
              <w:spacing w:before="120"/>
              <w:jc w:val="center"/>
            </w:pPr>
            <w:r>
              <w:rPr>
                <w:b/>
                <w:bCs/>
                <w:lang w:val="vi-VN"/>
              </w:rPr>
              <w:t>CỘNG HÒA XÃ HỘI CHỦ NGHĨA VIỆT NAM</w:t>
            </w:r>
            <w:r>
              <w:rPr>
                <w:b/>
                <w:bCs/>
                <w:lang w:val="vi-VN"/>
              </w:rPr>
              <w:br/>
              <w:t xml:space="preserve">Độc lập - Tự do - Hạnh phúc </w:t>
            </w:r>
            <w:r>
              <w:rPr>
                <w:b/>
                <w:bCs/>
                <w:lang w:val="vi-VN"/>
              </w:rPr>
              <w:br/>
              <w:t>---------------</w:t>
            </w:r>
          </w:p>
        </w:tc>
      </w:tr>
      <w:tr w:rsidR="00EE430D" w:rsidTr="00673EFE">
        <w:tblPrEx>
          <w:tblBorders>
            <w:top w:val="none" w:sz="0" w:space="0" w:color="auto"/>
            <w:bottom w:val="none" w:sz="0" w:space="0" w:color="auto"/>
            <w:insideH w:val="none" w:sz="0" w:space="0" w:color="auto"/>
            <w:insideV w:val="none" w:sz="0" w:space="0" w:color="auto"/>
          </w:tblBorders>
        </w:tblPrEx>
        <w:tc>
          <w:tcPr>
            <w:tcW w:w="3652" w:type="dxa"/>
            <w:tcBorders>
              <w:top w:val="nil"/>
              <w:left w:val="nil"/>
              <w:bottom w:val="nil"/>
              <w:right w:val="nil"/>
              <w:tl2br w:val="nil"/>
              <w:tr2bl w:val="nil"/>
            </w:tcBorders>
            <w:shd w:val="clear" w:color="auto" w:fill="auto"/>
            <w:tcMar>
              <w:top w:w="0" w:type="dxa"/>
              <w:left w:w="108" w:type="dxa"/>
              <w:bottom w:w="0" w:type="dxa"/>
              <w:right w:w="108" w:type="dxa"/>
            </w:tcMar>
          </w:tcPr>
          <w:p w:rsidR="00EE430D" w:rsidRDefault="00EE430D" w:rsidP="00673EFE">
            <w:pPr>
              <w:spacing w:before="120"/>
              <w:jc w:val="center"/>
            </w:pPr>
            <w:r>
              <w:rPr>
                <w:lang w:val="vi-VN"/>
              </w:rPr>
              <w:t>Số</w:t>
            </w:r>
            <w:r>
              <w:t>:</w:t>
            </w:r>
            <w:r>
              <w:rPr>
                <w:lang w:val="vi-VN"/>
              </w:rPr>
              <w:t xml:space="preserve"> </w:t>
            </w:r>
            <w:r w:rsidR="00673EFE">
              <w:rPr>
                <w:lang w:val="en-US"/>
              </w:rPr>
              <w:t xml:space="preserve">      </w:t>
            </w:r>
            <w:r>
              <w:rPr>
                <w:lang w:val="vi-VN"/>
              </w:rPr>
              <w:t>/201</w:t>
            </w:r>
            <w:r w:rsidR="00673EFE">
              <w:rPr>
                <w:lang w:val="en-US"/>
              </w:rPr>
              <w:t>9</w:t>
            </w:r>
            <w:r>
              <w:rPr>
                <w:lang w:val="vi-VN"/>
              </w:rPr>
              <w:t>/NQ-HĐND</w:t>
            </w:r>
          </w:p>
        </w:tc>
        <w:tc>
          <w:tcPr>
            <w:tcW w:w="5670" w:type="dxa"/>
            <w:tcBorders>
              <w:top w:val="nil"/>
              <w:left w:val="nil"/>
              <w:bottom w:val="nil"/>
              <w:right w:val="nil"/>
              <w:tl2br w:val="nil"/>
              <w:tr2bl w:val="nil"/>
            </w:tcBorders>
            <w:shd w:val="clear" w:color="auto" w:fill="auto"/>
            <w:tcMar>
              <w:top w:w="0" w:type="dxa"/>
              <w:left w:w="108" w:type="dxa"/>
              <w:bottom w:w="0" w:type="dxa"/>
              <w:right w:w="108" w:type="dxa"/>
            </w:tcMar>
          </w:tcPr>
          <w:p w:rsidR="00EE430D" w:rsidRPr="00673EFE" w:rsidRDefault="00EE430D" w:rsidP="00673EFE">
            <w:pPr>
              <w:spacing w:before="120"/>
              <w:jc w:val="right"/>
              <w:rPr>
                <w:lang w:val="en-US"/>
              </w:rPr>
            </w:pPr>
            <w:r>
              <w:rPr>
                <w:i/>
                <w:iCs/>
                <w:lang w:val="vi-VN"/>
              </w:rPr>
              <w:t xml:space="preserve">Thành phố Hồ Chí Minh, ngày </w:t>
            </w:r>
            <w:r w:rsidR="00673EFE">
              <w:rPr>
                <w:i/>
                <w:iCs/>
                <w:lang w:val="en-US"/>
              </w:rPr>
              <w:t xml:space="preserve">  </w:t>
            </w:r>
            <w:r>
              <w:rPr>
                <w:i/>
                <w:iCs/>
                <w:lang w:val="vi-VN"/>
              </w:rPr>
              <w:t xml:space="preserve"> tháng </w:t>
            </w:r>
            <w:r w:rsidR="00673EFE">
              <w:rPr>
                <w:i/>
                <w:iCs/>
              </w:rPr>
              <w:t xml:space="preserve">   </w:t>
            </w:r>
            <w:r>
              <w:rPr>
                <w:i/>
                <w:iCs/>
                <w:lang w:val="vi-VN"/>
              </w:rPr>
              <w:t>năm 201</w:t>
            </w:r>
            <w:r w:rsidR="00673EFE">
              <w:rPr>
                <w:i/>
                <w:iCs/>
                <w:lang w:val="en-US"/>
              </w:rPr>
              <w:t>9</w:t>
            </w:r>
          </w:p>
        </w:tc>
      </w:tr>
    </w:tbl>
    <w:p w:rsidR="00EE430D" w:rsidRPr="00C7375E" w:rsidRDefault="00F2373B">
      <w:pPr>
        <w:spacing w:before="120" w:after="280" w:afterAutospacing="1"/>
        <w:rPr>
          <w:color w:val="FF0000"/>
          <w:sz w:val="28"/>
          <w:szCs w:val="28"/>
          <w:lang w:val="en-US"/>
        </w:rPr>
      </w:pPr>
      <w:r>
        <w:rPr>
          <w:noProof/>
        </w:rPr>
        <w:pict>
          <v:shapetype id="_x0000_t202" coordsize="21600,21600" o:spt="202" path="m,l,21600r21600,l21600,xe">
            <v:stroke joinstyle="miter"/>
            <v:path gradientshapeok="t" o:connecttype="rect"/>
          </v:shapetype>
          <v:shape id="Text Box 2" o:spid="_x0000_s1027" type="#_x0000_t202" style="position:absolute;margin-left:18.15pt;margin-top:7.35pt;width:113.4pt;height:23.05pt;z-index:251658240;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">
            <v:textbox>
              <w:txbxContent>
                <w:p w:rsidR="00B84CA7" w:rsidRPr="005507A7" w:rsidRDefault="00B84CA7" w:rsidP="00B84CA7">
                  <w:pPr>
                    <w:rPr>
                      <w:b/>
                      <w:sz w:val="30"/>
                      <w:szCs w:val="30"/>
                    </w:rPr>
                  </w:pPr>
                  <w:r w:rsidRPr="005507A7">
                    <w:rPr>
                      <w:b/>
                      <w:sz w:val="30"/>
                      <w:szCs w:val="30"/>
                    </w:rPr>
                    <w:t>DỰ THẢO</w:t>
                  </w:r>
                </w:p>
              </w:txbxContent>
            </v:textbox>
            <w10:wrap type="square"/>
          </v:shape>
        </w:pict>
      </w:r>
      <w:r w:rsidR="00EE430D" w:rsidRPr="00C7375E">
        <w:rPr>
          <w:b/>
          <w:bCs/>
          <w:color w:val="FF0000"/>
          <w:sz w:val="28"/>
          <w:szCs w:val="28"/>
          <w:lang w:val="vi-VN"/>
        </w:rPr>
        <w:t> </w:t>
      </w:r>
    </w:p>
    <w:p w:rsidR="00EE430D" w:rsidRPr="004A6490" w:rsidRDefault="00EE430D" w:rsidP="004A6490">
      <w:pPr>
        <w:spacing w:before="120" w:after="120"/>
        <w:jc w:val="center"/>
        <w:rPr>
          <w:sz w:val="30"/>
          <w:szCs w:val="30"/>
        </w:rPr>
      </w:pPr>
      <w:r w:rsidRPr="004A6490">
        <w:rPr>
          <w:b/>
          <w:bCs/>
          <w:sz w:val="30"/>
          <w:szCs w:val="30"/>
          <w:lang w:val="vi-VN"/>
        </w:rPr>
        <w:t>NGHỊ QUYẾT</w:t>
      </w:r>
    </w:p>
    <w:p w:rsidR="00EE430D" w:rsidRPr="004A6490" w:rsidRDefault="004A6490" w:rsidP="004A6490">
      <w:pPr>
        <w:tabs>
          <w:tab w:val="left" w:pos="3360"/>
        </w:tabs>
        <w:ind w:right="-102"/>
        <w:jc w:val="center"/>
        <w:rPr>
          <w:b/>
          <w:sz w:val="26"/>
          <w:szCs w:val="26"/>
          <w:lang w:val="vi-VN"/>
        </w:rPr>
      </w:pPr>
      <w:r w:rsidRPr="004A6490">
        <w:rPr>
          <w:b/>
          <w:sz w:val="26"/>
          <w:szCs w:val="26"/>
          <w:lang w:val="en-US"/>
        </w:rPr>
        <w:t xml:space="preserve">Về hỗ trợ </w:t>
      </w:r>
      <w:r w:rsidRPr="004A6490">
        <w:rPr>
          <w:b/>
          <w:sz w:val="26"/>
          <w:szCs w:val="26"/>
        </w:rPr>
        <w:t xml:space="preserve">kinh phí cho đào tạo, bồi dưỡng theo Đề án đào tạo, bồi dưỡng </w:t>
      </w:r>
      <w:r w:rsidR="00236D3E">
        <w:rPr>
          <w:b/>
          <w:sz w:val="26"/>
          <w:szCs w:val="26"/>
        </w:rPr>
        <w:br/>
      </w:r>
      <w:r w:rsidRPr="004A6490">
        <w:rPr>
          <w:b/>
          <w:sz w:val="26"/>
          <w:szCs w:val="26"/>
        </w:rPr>
        <w:t xml:space="preserve">nguồn </w:t>
      </w:r>
      <w:r w:rsidR="009105A6">
        <w:rPr>
          <w:b/>
          <w:sz w:val="26"/>
          <w:szCs w:val="26"/>
        </w:rPr>
        <w:t>nhân lực khoa học và công nghệ T</w:t>
      </w:r>
      <w:r w:rsidRPr="004A6490">
        <w:rPr>
          <w:b/>
          <w:sz w:val="26"/>
          <w:szCs w:val="26"/>
        </w:rPr>
        <w:t>hành phố Hồ Chí Minh</w:t>
      </w:r>
      <w:r w:rsidR="00C05130">
        <w:rPr>
          <w:b/>
          <w:sz w:val="26"/>
          <w:szCs w:val="26"/>
        </w:rPr>
        <w:t xml:space="preserve"> </w:t>
      </w:r>
      <w:r w:rsidR="00426E08">
        <w:rPr>
          <w:b/>
          <w:sz w:val="26"/>
          <w:szCs w:val="26"/>
        </w:rPr>
        <w:br/>
      </w:r>
      <w:r w:rsidRPr="004A6490">
        <w:rPr>
          <w:b/>
          <w:sz w:val="26"/>
          <w:szCs w:val="26"/>
        </w:rPr>
        <w:t xml:space="preserve">giai đoạn 2017 – 2020 được ban hành kèm theo Quyết định số </w:t>
      </w:r>
      <w:r w:rsidRPr="004A6490">
        <w:rPr>
          <w:rFonts w:eastAsia="Calibri"/>
          <w:b/>
          <w:sz w:val="26"/>
          <w:szCs w:val="26"/>
        </w:rPr>
        <w:t xml:space="preserve">2012/QĐ-UBND </w:t>
      </w:r>
      <w:r>
        <w:rPr>
          <w:rFonts w:eastAsia="Calibri"/>
          <w:b/>
          <w:sz w:val="26"/>
          <w:szCs w:val="26"/>
        </w:rPr>
        <w:br/>
      </w:r>
      <w:r w:rsidRPr="004A6490">
        <w:rPr>
          <w:rFonts w:eastAsia="Calibri"/>
          <w:b/>
          <w:sz w:val="26"/>
          <w:szCs w:val="26"/>
        </w:rPr>
        <w:t>ngày 26 tháng 4 năm 2017 của Ủy ban nhân dân Thành phố</w:t>
      </w:r>
      <w:r w:rsidRPr="004A6490">
        <w:rPr>
          <w:b/>
          <w:sz w:val="26"/>
          <w:szCs w:val="26"/>
        </w:rPr>
        <w:t xml:space="preserve"> </w:t>
      </w:r>
    </w:p>
    <w:p w:rsidR="004A6490" w:rsidRPr="004A6490" w:rsidRDefault="00F2373B" w:rsidP="004A6490">
      <w:pPr>
        <w:spacing w:before="120" w:after="120"/>
        <w:jc w:val="center"/>
        <w:rPr>
          <w:sz w:val="26"/>
          <w:szCs w:val="26"/>
          <w:lang w:val="en-US"/>
        </w:rPr>
      </w:pPr>
      <w:r>
        <w:rPr>
          <w:noProof/>
          <w:sz w:val="26"/>
          <w:szCs w:val="26"/>
        </w:rPr>
        <w:pict>
          <v:shapetype id="_x0000_t32" coordsize="21600,21600" o:spt="32" o:oned="t" path="m,l21600,21600e" filled="f">
            <v:path arrowok="t" fillok="f" o:connecttype="none"/>
            <o:lock v:ext="edit" shapetype="t"/>
          </v:shapetype>
          <v:shape id="_x0000_s1026" type="#_x0000_t32" style="position:absolute;left:0;text-align:left;margin-left:178.2pt;margin-top:8.2pt;width:85.5pt;height:0;z-index:251657216" o:connectortype="straight"/>
        </w:pict>
      </w:r>
    </w:p>
    <w:p w:rsidR="00EE430D" w:rsidRPr="004A6490" w:rsidRDefault="00EE430D" w:rsidP="004A6490">
      <w:pPr>
        <w:spacing w:before="120" w:after="60"/>
        <w:jc w:val="center"/>
        <w:rPr>
          <w:sz w:val="26"/>
          <w:szCs w:val="26"/>
        </w:rPr>
      </w:pPr>
      <w:r w:rsidRPr="004A6490">
        <w:rPr>
          <w:b/>
          <w:bCs/>
          <w:sz w:val="26"/>
          <w:szCs w:val="26"/>
          <w:lang w:val="vi-VN"/>
        </w:rPr>
        <w:t>HỘI ĐỒNG NHÂN DÂN THÀNH PHỐ HỒ CHÍ MINH</w:t>
      </w:r>
      <w:r w:rsidRPr="004A6490">
        <w:rPr>
          <w:b/>
          <w:bCs/>
          <w:sz w:val="26"/>
          <w:szCs w:val="26"/>
          <w:lang w:val="vi-VN"/>
        </w:rPr>
        <w:br/>
        <w:t xml:space="preserve">KHÓA IX, KỲ HỌP THỨ </w:t>
      </w:r>
      <w:r w:rsidR="00262EE3" w:rsidRPr="004A6490">
        <w:rPr>
          <w:b/>
          <w:bCs/>
          <w:sz w:val="26"/>
          <w:szCs w:val="26"/>
          <w:lang w:val="en-US"/>
        </w:rPr>
        <w:t xml:space="preserve">    </w:t>
      </w:r>
      <w:r w:rsidRPr="004A6490">
        <w:rPr>
          <w:b/>
          <w:bCs/>
          <w:sz w:val="26"/>
          <w:szCs w:val="26"/>
          <w:lang w:val="vi-VN"/>
        </w:rPr>
        <w:t xml:space="preserve"> </w:t>
      </w:r>
    </w:p>
    <w:p w:rsidR="00EE430D" w:rsidRPr="004A6490" w:rsidRDefault="00EE430D" w:rsidP="004A6490">
      <w:pPr>
        <w:spacing w:before="60" w:after="120"/>
        <w:jc w:val="center"/>
        <w:rPr>
          <w:b/>
          <w:sz w:val="26"/>
          <w:szCs w:val="26"/>
        </w:rPr>
      </w:pPr>
      <w:r w:rsidRPr="004A6490">
        <w:rPr>
          <w:b/>
          <w:sz w:val="26"/>
          <w:szCs w:val="26"/>
          <w:lang w:val="vi-VN"/>
        </w:rPr>
        <w:t xml:space="preserve">(Từ ngày </w:t>
      </w:r>
      <w:r w:rsidR="00C26BB4" w:rsidRPr="004A6490">
        <w:rPr>
          <w:b/>
          <w:sz w:val="26"/>
          <w:szCs w:val="26"/>
          <w:lang w:val="en-US"/>
        </w:rPr>
        <w:t xml:space="preserve">   </w:t>
      </w:r>
      <w:r w:rsidRPr="004A6490">
        <w:rPr>
          <w:b/>
          <w:sz w:val="26"/>
          <w:szCs w:val="26"/>
          <w:lang w:val="vi-VN"/>
        </w:rPr>
        <w:t xml:space="preserve"> đến ngày </w:t>
      </w:r>
      <w:r w:rsidR="00C26BB4" w:rsidRPr="004A6490">
        <w:rPr>
          <w:b/>
          <w:sz w:val="26"/>
          <w:szCs w:val="26"/>
          <w:lang w:val="en-US"/>
        </w:rPr>
        <w:t xml:space="preserve">  </w:t>
      </w:r>
      <w:r w:rsidRPr="004A6490">
        <w:rPr>
          <w:b/>
          <w:sz w:val="26"/>
          <w:szCs w:val="26"/>
          <w:lang w:val="vi-VN"/>
        </w:rPr>
        <w:t xml:space="preserve"> tháng </w:t>
      </w:r>
      <w:r w:rsidR="00C26BB4" w:rsidRPr="004A6490">
        <w:rPr>
          <w:b/>
          <w:sz w:val="26"/>
          <w:szCs w:val="26"/>
          <w:lang w:val="en-US"/>
        </w:rPr>
        <w:t xml:space="preserve">  </w:t>
      </w:r>
      <w:r w:rsidRPr="004A6490">
        <w:rPr>
          <w:b/>
          <w:sz w:val="26"/>
          <w:szCs w:val="26"/>
          <w:lang w:val="vi-VN"/>
        </w:rPr>
        <w:t xml:space="preserve"> năm 201</w:t>
      </w:r>
      <w:r w:rsidR="00C26BB4" w:rsidRPr="004A6490">
        <w:rPr>
          <w:b/>
          <w:sz w:val="26"/>
          <w:szCs w:val="26"/>
          <w:lang w:val="en-US"/>
        </w:rPr>
        <w:t>9</w:t>
      </w:r>
      <w:r w:rsidRPr="004A6490">
        <w:rPr>
          <w:b/>
          <w:sz w:val="26"/>
          <w:szCs w:val="26"/>
          <w:lang w:val="vi-VN"/>
        </w:rPr>
        <w:t>)</w:t>
      </w:r>
    </w:p>
    <w:p w:rsidR="00912346" w:rsidRDefault="00912346" w:rsidP="00D708AD">
      <w:pPr>
        <w:spacing w:before="120" w:after="120"/>
        <w:ind w:firstLine="720"/>
        <w:jc w:val="both"/>
        <w:rPr>
          <w:i/>
          <w:iCs/>
          <w:sz w:val="26"/>
          <w:szCs w:val="26"/>
          <w:lang w:val="vi-VN"/>
        </w:rPr>
      </w:pPr>
    </w:p>
    <w:p w:rsidR="00EE430D" w:rsidRPr="004A6490" w:rsidRDefault="00EE430D" w:rsidP="00D708AD">
      <w:pPr>
        <w:spacing w:before="120" w:after="120"/>
        <w:ind w:firstLine="720"/>
        <w:jc w:val="both"/>
        <w:rPr>
          <w:sz w:val="26"/>
          <w:szCs w:val="26"/>
        </w:rPr>
      </w:pPr>
      <w:r w:rsidRPr="004A6490">
        <w:rPr>
          <w:i/>
          <w:iCs/>
          <w:sz w:val="26"/>
          <w:szCs w:val="26"/>
          <w:lang w:val="vi-VN"/>
        </w:rPr>
        <w:t>Căn cứ Luật tổ chức chính quyền địa phương ngày 19 tháng 6 năm 2015;</w:t>
      </w:r>
    </w:p>
    <w:p w:rsidR="00EE430D" w:rsidRPr="004A6490" w:rsidRDefault="00EE430D" w:rsidP="00D708AD">
      <w:pPr>
        <w:spacing w:before="120" w:after="120"/>
        <w:ind w:firstLine="720"/>
        <w:jc w:val="both"/>
        <w:rPr>
          <w:sz w:val="26"/>
          <w:szCs w:val="26"/>
        </w:rPr>
      </w:pPr>
      <w:r w:rsidRPr="004A6490">
        <w:rPr>
          <w:i/>
          <w:iCs/>
          <w:sz w:val="26"/>
          <w:szCs w:val="26"/>
          <w:lang w:val="vi-VN"/>
        </w:rPr>
        <w:t>Căn cứ Luật Ban hành văn bản quy phạm pháp luật ngày 22 tháng 6 năm 2015;</w:t>
      </w:r>
    </w:p>
    <w:p w:rsidR="00EE430D" w:rsidRDefault="00EE430D" w:rsidP="00D708AD">
      <w:pPr>
        <w:spacing w:before="120" w:after="120"/>
        <w:ind w:firstLine="720"/>
        <w:jc w:val="both"/>
        <w:rPr>
          <w:i/>
          <w:iCs/>
          <w:sz w:val="26"/>
          <w:szCs w:val="26"/>
          <w:lang w:val="vi-VN"/>
        </w:rPr>
      </w:pPr>
      <w:r w:rsidRPr="004A6490">
        <w:rPr>
          <w:i/>
          <w:iCs/>
          <w:sz w:val="26"/>
          <w:szCs w:val="26"/>
          <w:lang w:val="vi-VN"/>
        </w:rPr>
        <w:t xml:space="preserve">Căn cứ </w:t>
      </w:r>
      <w:r w:rsidR="00B706F9">
        <w:rPr>
          <w:i/>
          <w:iCs/>
          <w:sz w:val="26"/>
          <w:szCs w:val="26"/>
          <w:lang w:val="en-US"/>
        </w:rPr>
        <w:t>Luật Ngân sách nhà nước ngày 25 tháng 6 năm 2015</w:t>
      </w:r>
      <w:r w:rsidRPr="004A6490">
        <w:rPr>
          <w:i/>
          <w:iCs/>
          <w:sz w:val="26"/>
          <w:szCs w:val="26"/>
          <w:lang w:val="vi-VN"/>
        </w:rPr>
        <w:t>;</w:t>
      </w:r>
    </w:p>
    <w:p w:rsidR="00B706F9" w:rsidRDefault="00B706F9" w:rsidP="00D708AD">
      <w:pPr>
        <w:spacing w:before="120" w:after="120"/>
        <w:ind w:firstLine="720"/>
        <w:jc w:val="both"/>
        <w:rPr>
          <w:i/>
          <w:iCs/>
          <w:sz w:val="26"/>
          <w:szCs w:val="26"/>
          <w:lang w:val="en-US"/>
        </w:rPr>
      </w:pPr>
      <w:r>
        <w:rPr>
          <w:i/>
          <w:iCs/>
          <w:sz w:val="26"/>
          <w:szCs w:val="26"/>
          <w:lang w:val="en-US"/>
        </w:rPr>
        <w:t xml:space="preserve">Căn cứ </w:t>
      </w:r>
      <w:r w:rsidR="00A66D8C">
        <w:rPr>
          <w:i/>
          <w:iCs/>
          <w:sz w:val="26"/>
          <w:szCs w:val="26"/>
          <w:lang w:val="en-US"/>
        </w:rPr>
        <w:t>Nghị định số 163/2016/NĐ-CP ngày 21 tháng 12 năm 2016 của Chính phủ quy định chi tiết thi hành một số điều của Luật Ngân sách nhà nước;</w:t>
      </w:r>
    </w:p>
    <w:p w:rsidR="00865D14" w:rsidRDefault="00865D14" w:rsidP="00D708AD">
      <w:pPr>
        <w:spacing w:before="120" w:after="120"/>
        <w:ind w:firstLine="720"/>
        <w:jc w:val="both"/>
        <w:rPr>
          <w:i/>
          <w:iCs/>
          <w:sz w:val="26"/>
          <w:szCs w:val="26"/>
          <w:lang w:val="en-US"/>
        </w:rPr>
      </w:pPr>
      <w:r>
        <w:rPr>
          <w:i/>
          <w:iCs/>
          <w:sz w:val="26"/>
          <w:szCs w:val="26"/>
          <w:lang w:val="en-US"/>
        </w:rPr>
        <w:t>Căn cứ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7D5F0B" w:rsidRDefault="007D5F0B" w:rsidP="00D708AD">
      <w:pPr>
        <w:spacing w:before="120" w:after="120"/>
        <w:ind w:firstLine="720"/>
        <w:jc w:val="both"/>
        <w:rPr>
          <w:i/>
          <w:iCs/>
          <w:sz w:val="26"/>
          <w:szCs w:val="26"/>
          <w:lang w:val="en-US"/>
        </w:rPr>
      </w:pPr>
      <w:r w:rsidRPr="007D5F0B">
        <w:rPr>
          <w:i/>
          <w:iCs/>
          <w:sz w:val="26"/>
          <w:szCs w:val="26"/>
          <w:lang w:val="en-US"/>
        </w:rPr>
        <w:t>Căn cứ Thông tư số 36/2018/TT-BTC ngày 30 tháng 3 năm 2018 của Bộ Tài chính về hướng dẫn việc lập dự toán, quản lý, sử dụng và quyết toán kinh phí dành cho công tác đào tạo, bồi dưỡng cán bộ, công chức, viên chức;</w:t>
      </w:r>
    </w:p>
    <w:p w:rsidR="00962399" w:rsidRPr="00E60E8B" w:rsidRDefault="00962399" w:rsidP="00D708AD">
      <w:pPr>
        <w:spacing w:before="120" w:after="120"/>
        <w:ind w:firstLine="720"/>
        <w:jc w:val="both"/>
        <w:rPr>
          <w:i/>
          <w:iCs/>
          <w:sz w:val="26"/>
          <w:szCs w:val="26"/>
          <w:lang w:val="en-US"/>
        </w:rPr>
      </w:pPr>
      <w:r w:rsidRPr="00E60E8B">
        <w:rPr>
          <w:i/>
          <w:iCs/>
          <w:sz w:val="26"/>
          <w:szCs w:val="26"/>
          <w:lang w:val="en-US"/>
        </w:rPr>
        <w:t xml:space="preserve">Căn cứ Nghị quyết số </w:t>
      </w:r>
      <w:r w:rsidR="006E4ECF" w:rsidRPr="00E60E8B">
        <w:rPr>
          <w:i/>
          <w:sz w:val="26"/>
          <w:szCs w:val="26"/>
        </w:rPr>
        <w:t>29/2018/NQ-HĐND ngày 07 tháng 12 năm 2018 của Hội đồng nhân dân Thành phố ban hành quy định về mức chi đào tạo, bồi dưỡng cán bộ, công chức, viên chức trên địa bàn Thành phố Hồ Chí Minh,</w:t>
      </w:r>
    </w:p>
    <w:p w:rsidR="00EE430D" w:rsidRPr="004A6490" w:rsidRDefault="00EE430D" w:rsidP="00D708AD">
      <w:pPr>
        <w:spacing w:before="120" w:after="120"/>
        <w:ind w:firstLine="720"/>
        <w:jc w:val="both"/>
        <w:rPr>
          <w:sz w:val="26"/>
          <w:szCs w:val="26"/>
        </w:rPr>
      </w:pPr>
      <w:r w:rsidRPr="004A6490">
        <w:rPr>
          <w:i/>
          <w:iCs/>
          <w:sz w:val="26"/>
          <w:szCs w:val="26"/>
          <w:lang w:val="vi-VN"/>
        </w:rPr>
        <w:t xml:space="preserve">Xét Tờ trình số </w:t>
      </w:r>
      <w:r w:rsidR="00763A76" w:rsidRPr="004A6490">
        <w:rPr>
          <w:i/>
          <w:iCs/>
          <w:sz w:val="26"/>
          <w:szCs w:val="26"/>
          <w:lang w:val="en-US"/>
        </w:rPr>
        <w:t xml:space="preserve">   </w:t>
      </w:r>
      <w:r w:rsidR="00D708AD">
        <w:rPr>
          <w:i/>
          <w:iCs/>
          <w:sz w:val="26"/>
          <w:szCs w:val="26"/>
          <w:lang w:val="en-US"/>
        </w:rPr>
        <w:t xml:space="preserve">    </w:t>
      </w:r>
      <w:r w:rsidR="00763A76" w:rsidRPr="004A6490">
        <w:rPr>
          <w:i/>
          <w:iCs/>
          <w:sz w:val="26"/>
          <w:szCs w:val="26"/>
          <w:lang w:val="en-US"/>
        </w:rPr>
        <w:t xml:space="preserve"> </w:t>
      </w:r>
      <w:r w:rsidRPr="004A6490">
        <w:rPr>
          <w:i/>
          <w:iCs/>
          <w:sz w:val="26"/>
          <w:szCs w:val="26"/>
          <w:lang w:val="vi-VN"/>
        </w:rPr>
        <w:t xml:space="preserve">/TTr-UBND ngày </w:t>
      </w:r>
      <w:r w:rsidR="00763A76" w:rsidRPr="004A6490">
        <w:rPr>
          <w:i/>
          <w:iCs/>
          <w:sz w:val="26"/>
          <w:szCs w:val="26"/>
          <w:lang w:val="en-US"/>
        </w:rPr>
        <w:t xml:space="preserve">   </w:t>
      </w:r>
      <w:r w:rsidRPr="004A6490">
        <w:rPr>
          <w:i/>
          <w:iCs/>
          <w:sz w:val="26"/>
          <w:szCs w:val="26"/>
          <w:lang w:val="vi-VN"/>
        </w:rPr>
        <w:t xml:space="preserve"> tháng </w:t>
      </w:r>
      <w:r w:rsidR="00763A76" w:rsidRPr="004A6490">
        <w:rPr>
          <w:i/>
          <w:iCs/>
          <w:sz w:val="26"/>
          <w:szCs w:val="26"/>
          <w:lang w:val="en-US"/>
        </w:rPr>
        <w:t xml:space="preserve">  </w:t>
      </w:r>
      <w:r w:rsidRPr="004A6490">
        <w:rPr>
          <w:i/>
          <w:iCs/>
          <w:sz w:val="26"/>
          <w:szCs w:val="26"/>
          <w:lang w:val="vi-VN"/>
        </w:rPr>
        <w:t xml:space="preserve"> năm 201</w:t>
      </w:r>
      <w:r w:rsidR="00763A76" w:rsidRPr="004A6490">
        <w:rPr>
          <w:i/>
          <w:iCs/>
          <w:sz w:val="26"/>
          <w:szCs w:val="26"/>
          <w:lang w:val="en-US"/>
        </w:rPr>
        <w:t>9</w:t>
      </w:r>
      <w:r w:rsidRPr="004A6490">
        <w:rPr>
          <w:i/>
          <w:iCs/>
          <w:sz w:val="26"/>
          <w:szCs w:val="26"/>
          <w:lang w:val="vi-VN"/>
        </w:rPr>
        <w:t xml:space="preserve"> của Ủy ban nhân dân thành phố về </w:t>
      </w:r>
      <w:r w:rsidR="00763A76" w:rsidRPr="004A6490">
        <w:rPr>
          <w:i/>
          <w:iCs/>
          <w:sz w:val="26"/>
          <w:szCs w:val="26"/>
          <w:lang w:val="en-US"/>
        </w:rPr>
        <w:t xml:space="preserve">hỗ trợ kinh phí cho đào tạo, bồi dưỡng theo Đề án nguồn </w:t>
      </w:r>
      <w:r w:rsidR="009105A6">
        <w:rPr>
          <w:i/>
          <w:iCs/>
          <w:sz w:val="26"/>
          <w:szCs w:val="26"/>
          <w:lang w:val="en-US"/>
        </w:rPr>
        <w:t>nhân lực khoa học và công nghệ T</w:t>
      </w:r>
      <w:r w:rsidR="00763A76" w:rsidRPr="004A6490">
        <w:rPr>
          <w:i/>
          <w:iCs/>
          <w:sz w:val="26"/>
          <w:szCs w:val="26"/>
          <w:lang w:val="en-US"/>
        </w:rPr>
        <w:t>hành phố Hồ Chí Minh giai đoạn 2017 – 2020 được ban hành kèm theo Quyết định số 2012/QĐ-UBND ngày 26 tháng 4 năm 2017 của Ủy ban nhân dân Thành phố</w:t>
      </w:r>
      <w:r w:rsidRPr="004A6490">
        <w:rPr>
          <w:i/>
          <w:iCs/>
          <w:sz w:val="26"/>
          <w:szCs w:val="26"/>
          <w:lang w:val="vi-VN"/>
        </w:rPr>
        <w:t>; Báo cáo thẩm tra của</w:t>
      </w:r>
      <w:r w:rsidR="00C76DDA" w:rsidRPr="004A6490">
        <w:rPr>
          <w:i/>
          <w:iCs/>
          <w:sz w:val="26"/>
          <w:szCs w:val="26"/>
          <w:lang w:val="en-US"/>
        </w:rPr>
        <w:t>……………..</w:t>
      </w:r>
      <w:r w:rsidRPr="004A6490">
        <w:rPr>
          <w:i/>
          <w:iCs/>
          <w:sz w:val="26"/>
          <w:szCs w:val="26"/>
          <w:lang w:val="vi-VN"/>
        </w:rPr>
        <w:t xml:space="preserve">; ý kiến thảo luận của đại biểu Hội đồng nhân dân thành phố tại kỳ họp thứ </w:t>
      </w:r>
      <w:r w:rsidR="00763A76" w:rsidRPr="004A6490">
        <w:rPr>
          <w:i/>
          <w:iCs/>
          <w:sz w:val="26"/>
          <w:szCs w:val="26"/>
          <w:lang w:val="en-US"/>
        </w:rPr>
        <w:t xml:space="preserve">   </w:t>
      </w:r>
      <w:r w:rsidRPr="004A6490">
        <w:rPr>
          <w:i/>
          <w:iCs/>
          <w:sz w:val="26"/>
          <w:szCs w:val="26"/>
          <w:lang w:val="vi-VN"/>
        </w:rPr>
        <w:t xml:space="preserve"> .</w:t>
      </w:r>
    </w:p>
    <w:p w:rsidR="00EE430D" w:rsidRPr="004A6490" w:rsidRDefault="00EE430D" w:rsidP="00912346">
      <w:pPr>
        <w:spacing w:before="360" w:after="120"/>
        <w:jc w:val="center"/>
        <w:rPr>
          <w:sz w:val="26"/>
          <w:szCs w:val="26"/>
        </w:rPr>
      </w:pPr>
      <w:r w:rsidRPr="004A6490">
        <w:rPr>
          <w:b/>
          <w:bCs/>
          <w:sz w:val="26"/>
          <w:szCs w:val="26"/>
          <w:lang w:val="vi-VN"/>
        </w:rPr>
        <w:t>QUYẾT NGHỊ:</w:t>
      </w:r>
    </w:p>
    <w:p w:rsidR="00EE430D" w:rsidRPr="004A6490" w:rsidRDefault="00EE430D" w:rsidP="008F4692">
      <w:pPr>
        <w:spacing w:before="120" w:after="120"/>
        <w:ind w:firstLine="720"/>
        <w:jc w:val="both"/>
        <w:rPr>
          <w:sz w:val="26"/>
          <w:szCs w:val="26"/>
        </w:rPr>
      </w:pPr>
      <w:r w:rsidRPr="004A6490">
        <w:rPr>
          <w:b/>
          <w:bCs/>
          <w:sz w:val="26"/>
          <w:szCs w:val="26"/>
          <w:lang w:val="vi-VN"/>
        </w:rPr>
        <w:t>Điều 1.</w:t>
      </w:r>
      <w:r w:rsidRPr="004A6490">
        <w:rPr>
          <w:sz w:val="26"/>
          <w:szCs w:val="26"/>
          <w:lang w:val="vi-VN"/>
        </w:rPr>
        <w:t xml:space="preserve"> Thực hiện </w:t>
      </w:r>
      <w:r w:rsidR="00F37DEA">
        <w:rPr>
          <w:sz w:val="26"/>
          <w:szCs w:val="26"/>
          <w:lang w:val="en-US"/>
        </w:rPr>
        <w:t xml:space="preserve">mức </w:t>
      </w:r>
      <w:r w:rsidR="009C052E" w:rsidRPr="004A6490">
        <w:rPr>
          <w:sz w:val="26"/>
          <w:szCs w:val="26"/>
          <w:lang w:val="vi-VN"/>
        </w:rPr>
        <w:t xml:space="preserve">hỗ trợ kinh phí cho đào tạo, bồi dưỡng theo Đề án nguồn </w:t>
      </w:r>
      <w:r w:rsidR="009105A6">
        <w:rPr>
          <w:sz w:val="26"/>
          <w:szCs w:val="26"/>
          <w:lang w:val="vi-VN"/>
        </w:rPr>
        <w:t>nhân lực khoa học và công nghệ T</w:t>
      </w:r>
      <w:r w:rsidR="009C052E" w:rsidRPr="004A6490">
        <w:rPr>
          <w:sz w:val="26"/>
          <w:szCs w:val="26"/>
          <w:lang w:val="vi-VN"/>
        </w:rPr>
        <w:t>hành phố Hồ Chí Minh giai đoạn 2017 – 2020 được ban hành kèm theo Quyết định số 2012/QĐ-UBND ngày 26 tháng 4 năm 2017 của Ủy ban nhân dân Thành phố</w:t>
      </w:r>
      <w:r w:rsidR="009C052E" w:rsidRPr="004A6490">
        <w:rPr>
          <w:sz w:val="26"/>
          <w:szCs w:val="26"/>
          <w:lang w:val="en-US"/>
        </w:rPr>
        <w:t xml:space="preserve"> </w:t>
      </w:r>
      <w:r w:rsidR="001715A7" w:rsidRPr="004A6490">
        <w:rPr>
          <w:sz w:val="26"/>
          <w:szCs w:val="26"/>
          <w:lang w:val="en-US"/>
        </w:rPr>
        <w:t xml:space="preserve">(viết tắt là Đề án 2012) </w:t>
      </w:r>
      <w:r w:rsidRPr="004A6490">
        <w:rPr>
          <w:sz w:val="26"/>
          <w:szCs w:val="26"/>
          <w:lang w:val="vi-VN"/>
        </w:rPr>
        <w:t>như sau:</w:t>
      </w:r>
    </w:p>
    <w:p w:rsidR="0088222F" w:rsidRPr="000619F2" w:rsidRDefault="0088222F" w:rsidP="008F4692">
      <w:pPr>
        <w:spacing w:before="120" w:after="120"/>
        <w:ind w:firstLine="720"/>
        <w:jc w:val="both"/>
        <w:rPr>
          <w:b/>
          <w:sz w:val="26"/>
          <w:szCs w:val="26"/>
          <w:lang w:val="en-US"/>
        </w:rPr>
      </w:pPr>
      <w:r w:rsidRPr="000619F2">
        <w:rPr>
          <w:b/>
          <w:sz w:val="26"/>
          <w:szCs w:val="26"/>
          <w:lang w:val="en-US"/>
        </w:rPr>
        <w:lastRenderedPageBreak/>
        <w:t>1. Phạm vi điều chỉnh</w:t>
      </w:r>
    </w:p>
    <w:p w:rsidR="0088222F" w:rsidRDefault="00FA6713" w:rsidP="008F4692">
      <w:pPr>
        <w:spacing w:before="120" w:after="120"/>
        <w:ind w:firstLine="720"/>
        <w:jc w:val="both"/>
        <w:rPr>
          <w:sz w:val="26"/>
          <w:szCs w:val="26"/>
          <w:lang w:val="en-US"/>
        </w:rPr>
      </w:pPr>
      <w:r>
        <w:rPr>
          <w:sz w:val="26"/>
          <w:szCs w:val="26"/>
          <w:lang w:val="en-US"/>
        </w:rPr>
        <w:t>H</w:t>
      </w:r>
      <w:r w:rsidR="0088222F">
        <w:rPr>
          <w:sz w:val="26"/>
          <w:szCs w:val="26"/>
          <w:lang w:val="en-US"/>
        </w:rPr>
        <w:t xml:space="preserve">ỗ trợ </w:t>
      </w:r>
      <w:r w:rsidR="0088222F" w:rsidRPr="004A6490">
        <w:rPr>
          <w:sz w:val="26"/>
          <w:szCs w:val="26"/>
          <w:lang w:val="vi-VN"/>
        </w:rPr>
        <w:t>kinh phí cho</w:t>
      </w:r>
      <w:r w:rsidR="0088222F">
        <w:rPr>
          <w:sz w:val="26"/>
          <w:szCs w:val="26"/>
          <w:lang w:val="en-US"/>
        </w:rPr>
        <w:t xml:space="preserve"> đào tạo, bồi dưỡng</w:t>
      </w:r>
      <w:r w:rsidR="0088222F" w:rsidRPr="0088222F">
        <w:rPr>
          <w:sz w:val="26"/>
          <w:szCs w:val="26"/>
          <w:lang w:val="vi-VN"/>
        </w:rPr>
        <w:t xml:space="preserve"> </w:t>
      </w:r>
      <w:r w:rsidR="0088222F" w:rsidRPr="004A6490">
        <w:rPr>
          <w:sz w:val="26"/>
          <w:szCs w:val="26"/>
          <w:lang w:val="vi-VN"/>
        </w:rPr>
        <w:t>cán bộ, công chức</w:t>
      </w:r>
      <w:r w:rsidR="00217FD9">
        <w:rPr>
          <w:sz w:val="26"/>
          <w:szCs w:val="26"/>
          <w:lang w:val="en-US"/>
        </w:rPr>
        <w:t>;</w:t>
      </w:r>
      <w:r w:rsidR="0088222F" w:rsidRPr="004A6490">
        <w:rPr>
          <w:sz w:val="26"/>
          <w:szCs w:val="26"/>
          <w:lang w:val="vi-VN"/>
        </w:rPr>
        <w:t xml:space="preserve"> chuyên gia, cán bộ khoa học và công nghệ, cán bộ quản lý khoa học và công nghệ làm việc tại các trường, viện, phòng thí nghiệm, tổ chức khoa học và công nghệ công lập, ngoài công lập và doanh nghiệp theo Đề án 2012</w:t>
      </w:r>
      <w:r w:rsidR="0088222F">
        <w:rPr>
          <w:sz w:val="26"/>
          <w:szCs w:val="26"/>
          <w:lang w:val="vi-VN"/>
        </w:rPr>
        <w:t>.</w:t>
      </w:r>
    </w:p>
    <w:p w:rsidR="00EE430D" w:rsidRPr="000619F2" w:rsidRDefault="00C81F64" w:rsidP="008F4692">
      <w:pPr>
        <w:spacing w:before="120" w:after="120"/>
        <w:ind w:firstLine="720"/>
        <w:jc w:val="both"/>
        <w:rPr>
          <w:b/>
          <w:sz w:val="26"/>
          <w:szCs w:val="26"/>
          <w:lang w:val="en-US"/>
        </w:rPr>
      </w:pPr>
      <w:r w:rsidRPr="000619F2">
        <w:rPr>
          <w:b/>
          <w:sz w:val="26"/>
          <w:szCs w:val="26"/>
          <w:lang w:val="en-US"/>
        </w:rPr>
        <w:t>2</w:t>
      </w:r>
      <w:r w:rsidR="000619F2">
        <w:rPr>
          <w:b/>
          <w:sz w:val="26"/>
          <w:szCs w:val="26"/>
          <w:lang w:val="vi-VN"/>
        </w:rPr>
        <w:t>. Đối tượng áp dụng</w:t>
      </w:r>
    </w:p>
    <w:p w:rsidR="000417AD" w:rsidRPr="004A6490" w:rsidRDefault="00384D14" w:rsidP="008F4692">
      <w:pPr>
        <w:widowControl w:val="0"/>
        <w:spacing w:before="120" w:after="120"/>
        <w:ind w:firstLine="720"/>
        <w:jc w:val="both"/>
        <w:rPr>
          <w:sz w:val="26"/>
          <w:szCs w:val="26"/>
          <w:lang w:val="vi-VN"/>
        </w:rPr>
      </w:pPr>
      <w:r>
        <w:rPr>
          <w:sz w:val="26"/>
          <w:szCs w:val="26"/>
          <w:lang w:val="en-US"/>
        </w:rPr>
        <w:t xml:space="preserve">- </w:t>
      </w:r>
      <w:r w:rsidR="000417AD" w:rsidRPr="004A6490">
        <w:rPr>
          <w:sz w:val="26"/>
          <w:szCs w:val="26"/>
          <w:lang w:val="vi-VN"/>
        </w:rPr>
        <w:t xml:space="preserve">Là cá nhân hoạt động khoa học </w:t>
      </w:r>
      <w:r w:rsidR="00E51158">
        <w:rPr>
          <w:sz w:val="26"/>
          <w:szCs w:val="26"/>
          <w:lang w:val="en-US"/>
        </w:rPr>
        <w:t>và</w:t>
      </w:r>
      <w:r w:rsidR="000417AD" w:rsidRPr="004A6490">
        <w:rPr>
          <w:sz w:val="26"/>
          <w:szCs w:val="26"/>
          <w:lang w:val="vi-VN"/>
        </w:rPr>
        <w:t xml:space="preserve"> công nghệ trong các tổ chức khoa học </w:t>
      </w:r>
      <w:r w:rsidR="00E51158">
        <w:rPr>
          <w:sz w:val="26"/>
          <w:szCs w:val="26"/>
          <w:lang w:val="en-US"/>
        </w:rPr>
        <w:t>và</w:t>
      </w:r>
      <w:r w:rsidR="000417AD" w:rsidRPr="004A6490">
        <w:rPr>
          <w:sz w:val="26"/>
          <w:szCs w:val="26"/>
          <w:lang w:val="vi-VN"/>
        </w:rPr>
        <w:t xml:space="preserve"> công nghệ, trường, viện, các phòng thí nghiệm và doanh nghiệp tại Thành phố Hồ Chí Minh; đã hoặc đang tham gia thực hiện các nhiệm vụ khoa học </w:t>
      </w:r>
      <w:r w:rsidR="00E51158">
        <w:rPr>
          <w:sz w:val="26"/>
          <w:szCs w:val="26"/>
          <w:lang w:val="en-US"/>
        </w:rPr>
        <w:t>và</w:t>
      </w:r>
      <w:r w:rsidR="000417AD" w:rsidRPr="004A6490">
        <w:rPr>
          <w:sz w:val="26"/>
          <w:szCs w:val="26"/>
          <w:lang w:val="vi-VN"/>
        </w:rPr>
        <w:t xml:space="preserve"> công nghệ trong 4 ngành công nghiệp chủ lực, ngành công nghiệp hỗ trợ và một số lĩnh vực nghiên cứu quan trọng khác.</w:t>
      </w:r>
    </w:p>
    <w:p w:rsidR="000417AD" w:rsidRPr="004A6490" w:rsidRDefault="000417AD" w:rsidP="008F4692">
      <w:pPr>
        <w:widowControl w:val="0"/>
        <w:spacing w:before="120" w:after="120"/>
        <w:ind w:firstLine="720"/>
        <w:jc w:val="both"/>
        <w:rPr>
          <w:sz w:val="26"/>
          <w:szCs w:val="26"/>
          <w:lang w:val="vi-VN"/>
        </w:rPr>
      </w:pPr>
      <w:r w:rsidRPr="004A6490">
        <w:rPr>
          <w:sz w:val="26"/>
          <w:szCs w:val="26"/>
          <w:lang w:val="vi-VN"/>
        </w:rPr>
        <w:t xml:space="preserve">- Cán bộ của các phòng, ban và tương đương trở lên thuộc các </w:t>
      </w:r>
      <w:r w:rsidR="009105A6">
        <w:rPr>
          <w:sz w:val="26"/>
          <w:szCs w:val="26"/>
          <w:lang w:val="vi-VN"/>
        </w:rPr>
        <w:t xml:space="preserve">quận - huyện, sở - ban - ngành </w:t>
      </w:r>
      <w:r w:rsidR="007123DD">
        <w:rPr>
          <w:sz w:val="26"/>
          <w:szCs w:val="26"/>
          <w:lang w:val="en-US"/>
        </w:rPr>
        <w:t>T</w:t>
      </w:r>
      <w:r w:rsidRPr="004A6490">
        <w:rPr>
          <w:sz w:val="26"/>
          <w:szCs w:val="26"/>
          <w:lang w:val="vi-VN"/>
        </w:rPr>
        <w:t xml:space="preserve">hành phố có liên quan đến hoạt động khoa học </w:t>
      </w:r>
      <w:r w:rsidR="00576AA0">
        <w:rPr>
          <w:sz w:val="26"/>
          <w:szCs w:val="26"/>
          <w:lang w:val="en-US"/>
        </w:rPr>
        <w:t>và</w:t>
      </w:r>
      <w:r w:rsidRPr="004A6490">
        <w:rPr>
          <w:sz w:val="26"/>
          <w:szCs w:val="26"/>
          <w:lang w:val="vi-VN"/>
        </w:rPr>
        <w:t xml:space="preserve"> công nghệ.</w:t>
      </w:r>
    </w:p>
    <w:p w:rsidR="000417AD" w:rsidRPr="004A6490" w:rsidRDefault="000417AD" w:rsidP="008F4692">
      <w:pPr>
        <w:widowControl w:val="0"/>
        <w:spacing w:before="120" w:after="120"/>
        <w:ind w:firstLine="720"/>
        <w:jc w:val="both"/>
        <w:rPr>
          <w:sz w:val="26"/>
          <w:szCs w:val="26"/>
          <w:lang w:val="vi-VN"/>
        </w:rPr>
      </w:pPr>
      <w:r w:rsidRPr="004A6490">
        <w:rPr>
          <w:sz w:val="26"/>
          <w:szCs w:val="26"/>
          <w:lang w:val="vi-VN"/>
        </w:rPr>
        <w:t xml:space="preserve">- Cán bộ quản lý trung, cao cấp về khoa học </w:t>
      </w:r>
      <w:r w:rsidR="000A68FD">
        <w:rPr>
          <w:sz w:val="26"/>
          <w:szCs w:val="26"/>
          <w:lang w:val="en-US"/>
        </w:rPr>
        <w:t>và</w:t>
      </w:r>
      <w:r w:rsidRPr="004A6490">
        <w:rPr>
          <w:sz w:val="26"/>
          <w:szCs w:val="26"/>
          <w:lang w:val="vi-VN"/>
        </w:rPr>
        <w:t xml:space="preserve"> </w:t>
      </w:r>
      <w:r w:rsidR="002E6EF1">
        <w:rPr>
          <w:sz w:val="26"/>
          <w:szCs w:val="26"/>
          <w:lang w:val="vi-VN"/>
        </w:rPr>
        <w:t xml:space="preserve">công nghệ của tổ chức khoa học </w:t>
      </w:r>
      <w:r w:rsidR="002E6EF1">
        <w:rPr>
          <w:sz w:val="26"/>
          <w:szCs w:val="26"/>
          <w:lang w:val="en-US"/>
        </w:rPr>
        <w:t>và</w:t>
      </w:r>
      <w:r w:rsidRPr="004A6490">
        <w:rPr>
          <w:sz w:val="26"/>
          <w:szCs w:val="26"/>
          <w:lang w:val="vi-VN"/>
        </w:rPr>
        <w:t xml:space="preserve"> công nghệ, trường, viện, các phòng thí nghiệm và doanh nghiệp.</w:t>
      </w:r>
    </w:p>
    <w:p w:rsidR="001715A7" w:rsidRPr="000619F2" w:rsidRDefault="00C81F64" w:rsidP="008F4692">
      <w:pPr>
        <w:widowControl w:val="0"/>
        <w:spacing w:before="120" w:after="120"/>
        <w:ind w:right="-3" w:firstLine="720"/>
        <w:jc w:val="both"/>
        <w:rPr>
          <w:b/>
          <w:sz w:val="26"/>
          <w:szCs w:val="26"/>
          <w:lang w:val="en-US"/>
        </w:rPr>
      </w:pPr>
      <w:r w:rsidRPr="000619F2">
        <w:rPr>
          <w:b/>
          <w:sz w:val="26"/>
          <w:szCs w:val="26"/>
          <w:lang w:val="en-US"/>
        </w:rPr>
        <w:t>3</w:t>
      </w:r>
      <w:r w:rsidR="001715A7" w:rsidRPr="000619F2">
        <w:rPr>
          <w:b/>
          <w:sz w:val="26"/>
          <w:szCs w:val="26"/>
          <w:lang w:val="en-US"/>
        </w:rPr>
        <w:t xml:space="preserve">. </w:t>
      </w:r>
      <w:r w:rsidR="001715A7" w:rsidRPr="000619F2">
        <w:rPr>
          <w:b/>
          <w:sz w:val="26"/>
          <w:szCs w:val="26"/>
          <w:lang w:val="vi-VN"/>
        </w:rPr>
        <w:t xml:space="preserve">Nguyên tắc hỗ trợ </w:t>
      </w:r>
    </w:p>
    <w:p w:rsidR="001715A7" w:rsidRPr="004A6490" w:rsidRDefault="00987954" w:rsidP="008F4692">
      <w:pPr>
        <w:widowControl w:val="0"/>
        <w:spacing w:before="120" w:after="120"/>
        <w:ind w:right="-3" w:firstLine="720"/>
        <w:jc w:val="both"/>
        <w:rPr>
          <w:sz w:val="26"/>
          <w:szCs w:val="26"/>
          <w:lang w:val="vi-VN"/>
        </w:rPr>
      </w:pPr>
      <w:r>
        <w:rPr>
          <w:sz w:val="26"/>
          <w:szCs w:val="26"/>
          <w:lang w:val="vi-VN"/>
        </w:rPr>
        <w:t>- Hỗ trợ</w:t>
      </w:r>
      <w:r w:rsidR="001715A7" w:rsidRPr="004A6490">
        <w:rPr>
          <w:sz w:val="26"/>
          <w:szCs w:val="26"/>
          <w:lang w:val="vi-VN"/>
        </w:rPr>
        <w:t xml:space="preserve"> 100% kinh phí đào tạo, bồi dưỡng cho đối tượng cán bộ, công</w:t>
      </w:r>
      <w:r w:rsidR="008C3331">
        <w:rPr>
          <w:sz w:val="26"/>
          <w:szCs w:val="26"/>
          <w:lang w:val="vi-VN"/>
        </w:rPr>
        <w:t xml:space="preserve"> chức;</w:t>
      </w:r>
      <w:r w:rsidR="001715A7" w:rsidRPr="004A6490">
        <w:rPr>
          <w:sz w:val="26"/>
          <w:szCs w:val="26"/>
          <w:lang w:val="vi-VN"/>
        </w:rPr>
        <w:t xml:space="preserve"> chuyên gia, cán bộ khoa học và công nghệ, cán bộ quản lý khoa học và công nghệ làm việc tại các trường, viện, phòng thí nghiệm, tổ chức khoa học và công nghệ công lập.</w:t>
      </w:r>
    </w:p>
    <w:p w:rsidR="001715A7" w:rsidRPr="004A6490" w:rsidRDefault="007873DF" w:rsidP="008E70FE">
      <w:pPr>
        <w:widowControl w:val="0"/>
        <w:spacing w:before="120" w:after="120"/>
        <w:ind w:right="-3" w:firstLine="720"/>
        <w:jc w:val="both"/>
        <w:rPr>
          <w:sz w:val="26"/>
          <w:szCs w:val="26"/>
          <w:lang w:val="vi-VN"/>
        </w:rPr>
      </w:pPr>
      <w:r>
        <w:rPr>
          <w:sz w:val="26"/>
          <w:szCs w:val="26"/>
          <w:lang w:val="vi-VN"/>
        </w:rPr>
        <w:t>- Hỗ trợ</w:t>
      </w:r>
      <w:r w:rsidR="001715A7" w:rsidRPr="004A6490">
        <w:rPr>
          <w:sz w:val="26"/>
          <w:szCs w:val="26"/>
          <w:lang w:val="vi-VN"/>
        </w:rPr>
        <w:t xml:space="preserve"> 50% kinh phí đào tạo, bồi dưỡng cho đối tượng chuyên gia, cán bộ khoa học và công nghệ, cán bộ quản lý khoa học và công nghệ làm việc tại trường, viện, phòng thí nghiệm, tổ chức khoa học và công nghệ ngoài công lập và doanh nghiệp.</w:t>
      </w:r>
    </w:p>
    <w:p w:rsidR="001715A7" w:rsidRPr="000619F2" w:rsidRDefault="00C81F64" w:rsidP="008E70FE">
      <w:pPr>
        <w:widowControl w:val="0"/>
        <w:spacing w:before="120" w:after="120"/>
        <w:ind w:right="-3" w:firstLine="720"/>
        <w:jc w:val="both"/>
        <w:rPr>
          <w:b/>
          <w:sz w:val="26"/>
          <w:szCs w:val="26"/>
          <w:lang w:val="vi-VN"/>
        </w:rPr>
      </w:pPr>
      <w:r w:rsidRPr="000619F2">
        <w:rPr>
          <w:b/>
          <w:sz w:val="26"/>
          <w:szCs w:val="26"/>
          <w:lang w:val="en-US"/>
        </w:rPr>
        <w:t>4</w:t>
      </w:r>
      <w:r w:rsidR="001715A7" w:rsidRPr="000619F2">
        <w:rPr>
          <w:b/>
          <w:sz w:val="26"/>
          <w:szCs w:val="26"/>
          <w:lang w:val="vi-VN"/>
        </w:rPr>
        <w:t>. Nội dung và định mức chi</w:t>
      </w:r>
    </w:p>
    <w:p w:rsidR="001715A7" w:rsidRPr="004A6490" w:rsidRDefault="001715A7" w:rsidP="008E70FE">
      <w:pPr>
        <w:widowControl w:val="0"/>
        <w:spacing w:before="120" w:after="120"/>
        <w:ind w:right="-3" w:firstLine="720"/>
        <w:jc w:val="both"/>
        <w:rPr>
          <w:sz w:val="26"/>
          <w:szCs w:val="26"/>
          <w:lang w:val="vi-VN"/>
        </w:rPr>
      </w:pPr>
      <w:r w:rsidRPr="004A6490">
        <w:rPr>
          <w:sz w:val="26"/>
          <w:szCs w:val="26"/>
          <w:lang w:val="vi-VN"/>
        </w:rPr>
        <w:t xml:space="preserve">Kinh phí </w:t>
      </w:r>
      <w:r w:rsidR="007767C3">
        <w:rPr>
          <w:sz w:val="26"/>
          <w:szCs w:val="26"/>
          <w:lang w:val="en-US"/>
        </w:rPr>
        <w:t xml:space="preserve">hỗ trợ cho </w:t>
      </w:r>
      <w:r w:rsidRPr="004A6490">
        <w:rPr>
          <w:sz w:val="26"/>
          <w:szCs w:val="26"/>
          <w:lang w:val="vi-VN"/>
        </w:rPr>
        <w:t>đào tạo, bồi dưỡng theo Đề án 2012 được bố trí dự toán và quyết toán căn cứ vào chi phí cụ thể của từng lớp. Các nội dung chi, mức chi được thực hiện theo các quy định cụ thể sau:</w:t>
      </w:r>
    </w:p>
    <w:p w:rsidR="001715A7" w:rsidRPr="00AC16B9" w:rsidRDefault="00E41A07" w:rsidP="008E70FE">
      <w:pPr>
        <w:widowControl w:val="0"/>
        <w:spacing w:before="120" w:after="120"/>
        <w:ind w:right="-3" w:firstLine="720"/>
        <w:jc w:val="both"/>
        <w:rPr>
          <w:sz w:val="26"/>
          <w:szCs w:val="26"/>
          <w:lang w:val="en-US"/>
        </w:rPr>
      </w:pPr>
      <w:r>
        <w:rPr>
          <w:sz w:val="26"/>
          <w:szCs w:val="26"/>
          <w:lang w:val="en-US"/>
        </w:rPr>
        <w:t>a)</w:t>
      </w:r>
      <w:r w:rsidR="001715A7" w:rsidRPr="004A6490">
        <w:rPr>
          <w:sz w:val="26"/>
          <w:szCs w:val="26"/>
          <w:lang w:val="vi-VN"/>
        </w:rPr>
        <w:t xml:space="preserve"> Chi dịch vụ đào tạo, bồi dưỡng và các khoản chi phí bắt buộc phải trả cho các cơ sở đào tạo hoặc cơ sở dịch vụ ở nước ngoài: Theo thông báo hoặc hóa đơn học phí của cơ sở đào tạo, bồi dưỡng nơi cán bộ, công chức</w:t>
      </w:r>
      <w:r w:rsidR="00B26B52">
        <w:rPr>
          <w:sz w:val="26"/>
          <w:szCs w:val="26"/>
          <w:lang w:val="en-US"/>
        </w:rPr>
        <w:t>;</w:t>
      </w:r>
      <w:r w:rsidR="001715A7" w:rsidRPr="004A6490">
        <w:rPr>
          <w:sz w:val="26"/>
          <w:szCs w:val="26"/>
          <w:lang w:val="vi-VN"/>
        </w:rPr>
        <w:t xml:space="preserve"> chuyên gia, cán bộ khoa học và công nghệ, cán bộ quản lý khoa học và công nghệ làm việc tại các trường, viện, phòng thí nghiệm, tổ chức khoa học và công nghệ công lập, ngoài công lập và doanh nghiệp được cử đi đào tạo, bồi dưỡng hoặc chứng từ, hóa đơn hợp pháp do cơ sở dịch vụ ở nước ngoài ban hành hoặc theo hợp đồng cụ thể do cấp có thẩm quyền ký kết</w:t>
      </w:r>
      <w:r w:rsidR="00AC16B9">
        <w:rPr>
          <w:sz w:val="26"/>
          <w:szCs w:val="26"/>
          <w:lang w:val="en-US"/>
        </w:rPr>
        <w:t>.</w:t>
      </w:r>
    </w:p>
    <w:p w:rsidR="001715A7" w:rsidRPr="00AC16B9" w:rsidRDefault="00E41A07" w:rsidP="008E70FE">
      <w:pPr>
        <w:widowControl w:val="0"/>
        <w:spacing w:before="120" w:after="120"/>
        <w:ind w:right="-3" w:firstLine="720"/>
        <w:jc w:val="both"/>
        <w:rPr>
          <w:sz w:val="26"/>
          <w:szCs w:val="26"/>
          <w:lang w:val="en-US"/>
        </w:rPr>
      </w:pPr>
      <w:r>
        <w:rPr>
          <w:sz w:val="26"/>
          <w:szCs w:val="26"/>
          <w:lang w:val="en-US"/>
        </w:rPr>
        <w:t>b)</w:t>
      </w:r>
      <w:r w:rsidR="001715A7" w:rsidRPr="004A6490">
        <w:rPr>
          <w:sz w:val="26"/>
          <w:szCs w:val="26"/>
          <w:lang w:val="vi-VN"/>
        </w:rPr>
        <w:t xml:space="preserve"> Chi mua Bảo hiểm y tế: Theo thông báo hoặc hóa đơn Bảo hiểm y tế bắt buộc của cơ sở đào tạo, bồi dưỡng nơi</w:t>
      </w:r>
      <w:r w:rsidR="003E33F2" w:rsidRPr="003E33F2">
        <w:t xml:space="preserve"> </w:t>
      </w:r>
      <w:r w:rsidR="003E33F2" w:rsidRPr="003E33F2">
        <w:rPr>
          <w:sz w:val="26"/>
          <w:szCs w:val="26"/>
          <w:lang w:val="vi-VN"/>
        </w:rPr>
        <w:t xml:space="preserve">cán bộ, công chức; </w:t>
      </w:r>
      <w:r w:rsidR="001715A7" w:rsidRPr="004A6490">
        <w:rPr>
          <w:sz w:val="26"/>
          <w:szCs w:val="26"/>
          <w:lang w:val="vi-VN"/>
        </w:rPr>
        <w:t>chuyên gia, cán bộ khoa học và công nghệ, cán bộ quản lý khoa học và công nghệ làm việc tại các trường, viện, phòng thí nghiệm, tổ chức khoa học và công nghệ công lập, ngoài công lập và doanh nghiệp được cử đi đào tạo và không vượt mức Bảo hiểm y tế tối thiểu áp dụng chung cho lưu họ</w:t>
      </w:r>
      <w:r w:rsidR="00AC16B9">
        <w:rPr>
          <w:sz w:val="26"/>
          <w:szCs w:val="26"/>
          <w:lang w:val="vi-VN"/>
        </w:rPr>
        <w:t>c sinh nước ngoài ở nước sở tại</w:t>
      </w:r>
      <w:r w:rsidR="00AC16B9">
        <w:rPr>
          <w:sz w:val="26"/>
          <w:szCs w:val="26"/>
          <w:lang w:val="en-US"/>
        </w:rPr>
        <w:t>.</w:t>
      </w:r>
    </w:p>
    <w:p w:rsidR="001715A7" w:rsidRPr="00AC16B9" w:rsidRDefault="00C00BB7" w:rsidP="008E70FE">
      <w:pPr>
        <w:widowControl w:val="0"/>
        <w:spacing w:before="120" w:after="120"/>
        <w:ind w:right="-3" w:firstLine="720"/>
        <w:jc w:val="both"/>
        <w:rPr>
          <w:sz w:val="26"/>
          <w:szCs w:val="26"/>
          <w:lang w:val="en-US"/>
        </w:rPr>
      </w:pPr>
      <w:r>
        <w:rPr>
          <w:sz w:val="26"/>
          <w:szCs w:val="26"/>
          <w:lang w:val="en-US"/>
        </w:rPr>
        <w:t>c)</w:t>
      </w:r>
      <w:r w:rsidR="001715A7" w:rsidRPr="004A6490">
        <w:rPr>
          <w:sz w:val="26"/>
          <w:szCs w:val="26"/>
          <w:lang w:val="vi-VN"/>
        </w:rPr>
        <w:t xml:space="preserve"> Chi phí cho công tác phiên dịch, biên dịch tài liệu: Thực hiện theo quy định tại Thông tư số 71/2018/TT-BTC ngày 10 tháng 8 năm 2018 của Bộ Tài chính quy định chế độ tiếp khách nước ngoài vào làm việc tại Việt Nam, chế độ chi tổ chức hội </w:t>
      </w:r>
      <w:r w:rsidR="001715A7" w:rsidRPr="004A6490">
        <w:rPr>
          <w:sz w:val="26"/>
          <w:szCs w:val="26"/>
          <w:lang w:val="vi-VN"/>
        </w:rPr>
        <w:lastRenderedPageBreak/>
        <w:t>nghị, hội thảo quốc tế tại Việt Nam và chế độ tiếp khách trong nước</w:t>
      </w:r>
      <w:r w:rsidR="00AC16B9">
        <w:rPr>
          <w:sz w:val="26"/>
          <w:szCs w:val="26"/>
          <w:lang w:val="en-US"/>
        </w:rPr>
        <w:t>.</w:t>
      </w:r>
    </w:p>
    <w:p w:rsidR="001715A7" w:rsidRPr="00AC16B9" w:rsidRDefault="00C00BB7" w:rsidP="008E70FE">
      <w:pPr>
        <w:widowControl w:val="0"/>
        <w:spacing w:before="120" w:after="120"/>
        <w:ind w:right="-3" w:firstLine="720"/>
        <w:jc w:val="both"/>
        <w:rPr>
          <w:sz w:val="26"/>
          <w:szCs w:val="26"/>
          <w:lang w:val="en-US"/>
        </w:rPr>
      </w:pPr>
      <w:r>
        <w:rPr>
          <w:sz w:val="26"/>
          <w:szCs w:val="26"/>
          <w:lang w:val="en-US"/>
        </w:rPr>
        <w:t>d)</w:t>
      </w:r>
      <w:r w:rsidR="001715A7" w:rsidRPr="004A6490">
        <w:rPr>
          <w:sz w:val="26"/>
          <w:szCs w:val="26"/>
          <w:lang w:val="vi-VN"/>
        </w:rPr>
        <w:t xml:space="preserve"> Chi phí cho công tác tổ chức lớp học: Khảo sát, đàm phán, xây dựng chương trình học tập với các cơ sở đào tạo, bồi dưỡng ở nước ngoài, theo chi phí thực tế phát sinh có đầy đủ chứng từ, hóa đơn hợp pháp</w:t>
      </w:r>
      <w:r w:rsidR="00AC16B9">
        <w:rPr>
          <w:sz w:val="26"/>
          <w:szCs w:val="26"/>
          <w:lang w:val="en-US"/>
        </w:rPr>
        <w:t>.</w:t>
      </w:r>
    </w:p>
    <w:p w:rsidR="004E5CA1" w:rsidRDefault="00C00BB7" w:rsidP="008E70FE">
      <w:pPr>
        <w:widowControl w:val="0"/>
        <w:spacing w:before="120" w:after="120"/>
        <w:ind w:right="-3" w:firstLine="720"/>
        <w:jc w:val="both"/>
        <w:rPr>
          <w:sz w:val="26"/>
          <w:szCs w:val="26"/>
          <w:lang w:val="en-US"/>
        </w:rPr>
      </w:pPr>
      <w:r>
        <w:rPr>
          <w:sz w:val="26"/>
          <w:szCs w:val="26"/>
          <w:lang w:val="en-US"/>
        </w:rPr>
        <w:t>đ)</w:t>
      </w:r>
      <w:r w:rsidR="004E5CA1">
        <w:rPr>
          <w:sz w:val="26"/>
          <w:szCs w:val="26"/>
          <w:lang w:val="en-US"/>
        </w:rPr>
        <w:t xml:space="preserve"> Lệ phí visa, lệ phí cấp hộ chiếu</w:t>
      </w:r>
      <w:r w:rsidR="004E5CA1" w:rsidRPr="004E5CA1">
        <w:rPr>
          <w:sz w:val="26"/>
          <w:szCs w:val="26"/>
          <w:lang w:val="en-US"/>
        </w:rPr>
        <w:t xml:space="preserve">: Thanh toán theo </w:t>
      </w:r>
      <w:r w:rsidR="004E5CA1">
        <w:rPr>
          <w:sz w:val="26"/>
          <w:szCs w:val="26"/>
          <w:lang w:val="en-US"/>
        </w:rPr>
        <w:t>phiếu thu hợp pháp của cơ quan lãnh sự trong và ngoài nước</w:t>
      </w:r>
      <w:r w:rsidR="004E5CA1" w:rsidRPr="004E5CA1">
        <w:rPr>
          <w:sz w:val="26"/>
          <w:szCs w:val="26"/>
          <w:lang w:val="en-US"/>
        </w:rPr>
        <w:t>.</w:t>
      </w:r>
    </w:p>
    <w:p w:rsidR="00B40AAB" w:rsidRDefault="0087097E" w:rsidP="004E5CA1">
      <w:pPr>
        <w:widowControl w:val="0"/>
        <w:spacing w:before="120" w:after="120"/>
        <w:ind w:right="-3" w:firstLine="720"/>
        <w:jc w:val="both"/>
        <w:rPr>
          <w:sz w:val="26"/>
          <w:szCs w:val="26"/>
          <w:lang w:val="en-US"/>
        </w:rPr>
      </w:pPr>
      <w:r>
        <w:rPr>
          <w:sz w:val="26"/>
          <w:szCs w:val="26"/>
          <w:lang w:val="en-US"/>
        </w:rPr>
        <w:t>e</w:t>
      </w:r>
      <w:r w:rsidR="00C00BB7">
        <w:rPr>
          <w:sz w:val="26"/>
          <w:szCs w:val="26"/>
          <w:lang w:val="en-US"/>
        </w:rPr>
        <w:t>)</w:t>
      </w:r>
      <w:r w:rsidR="004E5CA1">
        <w:rPr>
          <w:sz w:val="26"/>
          <w:szCs w:val="26"/>
          <w:lang w:val="en-US"/>
        </w:rPr>
        <w:t xml:space="preserve"> </w:t>
      </w:r>
      <w:r w:rsidR="004E5CA1" w:rsidRPr="004E5CA1">
        <w:rPr>
          <w:sz w:val="26"/>
          <w:szCs w:val="26"/>
          <w:lang w:val="en-US"/>
        </w:rPr>
        <w:t>Tiền vé máy bay đi và về:</w:t>
      </w:r>
      <w:r w:rsidR="00C00BB7">
        <w:rPr>
          <w:sz w:val="26"/>
          <w:szCs w:val="26"/>
          <w:lang w:val="en-US"/>
        </w:rPr>
        <w:t xml:space="preserve"> </w:t>
      </w:r>
    </w:p>
    <w:p w:rsidR="00B40AAB" w:rsidRDefault="00B40AAB" w:rsidP="004E5CA1">
      <w:pPr>
        <w:widowControl w:val="0"/>
        <w:spacing w:before="120" w:after="120"/>
        <w:ind w:right="-3" w:firstLine="720"/>
        <w:jc w:val="both"/>
        <w:rPr>
          <w:sz w:val="26"/>
          <w:szCs w:val="26"/>
          <w:lang w:val="en-US"/>
        </w:rPr>
      </w:pPr>
      <w:r>
        <w:rPr>
          <w:sz w:val="26"/>
          <w:szCs w:val="26"/>
          <w:lang w:val="en-US"/>
        </w:rPr>
        <w:t xml:space="preserve">- </w:t>
      </w:r>
      <w:r w:rsidR="004E5CA1">
        <w:rPr>
          <w:sz w:val="26"/>
          <w:szCs w:val="26"/>
          <w:lang w:val="en-US"/>
        </w:rPr>
        <w:t>Hạng ghế thường (Economy class</w:t>
      </w:r>
      <w:r w:rsidR="0059069A">
        <w:rPr>
          <w:sz w:val="26"/>
          <w:szCs w:val="26"/>
          <w:lang w:val="en-US"/>
        </w:rPr>
        <w:t xml:space="preserve"> hoặc Y class), đ</w:t>
      </w:r>
      <w:r w:rsidR="004E5CA1" w:rsidRPr="004E5CA1">
        <w:rPr>
          <w:sz w:val="26"/>
          <w:szCs w:val="26"/>
          <w:lang w:val="en-US"/>
        </w:rPr>
        <w:t>ược cấp một lượt vé từ Việt Nam đến nơi học tập và một lượt vé từ nơi học tập về Việt Nam (trừ trường hợp được phía bạn đài thọ) trong toàn bộ thời gian đào tạo, bồi dưỡng.</w:t>
      </w:r>
      <w:r w:rsidR="001A03FF">
        <w:rPr>
          <w:sz w:val="26"/>
          <w:szCs w:val="26"/>
          <w:lang w:val="en-US"/>
        </w:rPr>
        <w:t xml:space="preserve"> </w:t>
      </w:r>
    </w:p>
    <w:p w:rsidR="004E5CA1" w:rsidRDefault="00B40AAB" w:rsidP="004E5CA1">
      <w:pPr>
        <w:widowControl w:val="0"/>
        <w:spacing w:before="120" w:after="120"/>
        <w:ind w:right="-3" w:firstLine="720"/>
        <w:jc w:val="both"/>
        <w:rPr>
          <w:sz w:val="26"/>
          <w:szCs w:val="26"/>
          <w:lang w:val="en-US"/>
        </w:rPr>
      </w:pPr>
      <w:r>
        <w:rPr>
          <w:sz w:val="26"/>
          <w:szCs w:val="26"/>
          <w:lang w:val="en-US"/>
        </w:rPr>
        <w:t xml:space="preserve">- </w:t>
      </w:r>
      <w:r w:rsidR="004E5CA1" w:rsidRPr="004E5CA1">
        <w:rPr>
          <w:sz w:val="26"/>
          <w:szCs w:val="26"/>
          <w:lang w:val="en-US"/>
        </w:rPr>
        <w:t>Thực hiện thanh toán theo quy định hiện hành về chế độ và định mức chi tiêu ngân sách nhà nước.</w:t>
      </w:r>
    </w:p>
    <w:p w:rsidR="005C66FC" w:rsidRDefault="0087097E" w:rsidP="004E5CA1">
      <w:pPr>
        <w:widowControl w:val="0"/>
        <w:spacing w:before="120" w:after="120"/>
        <w:ind w:right="-3" w:firstLine="720"/>
        <w:jc w:val="both"/>
        <w:rPr>
          <w:sz w:val="26"/>
          <w:szCs w:val="26"/>
          <w:lang w:val="en-US"/>
        </w:rPr>
      </w:pPr>
      <w:r>
        <w:rPr>
          <w:sz w:val="26"/>
          <w:szCs w:val="26"/>
          <w:lang w:val="en-US"/>
        </w:rPr>
        <w:t>g</w:t>
      </w:r>
      <w:r w:rsidR="00AC16B9">
        <w:rPr>
          <w:sz w:val="26"/>
          <w:szCs w:val="26"/>
          <w:lang w:val="en-US"/>
        </w:rPr>
        <w:t>)</w:t>
      </w:r>
      <w:r w:rsidR="00120465">
        <w:rPr>
          <w:sz w:val="26"/>
          <w:szCs w:val="26"/>
          <w:lang w:val="en-US"/>
        </w:rPr>
        <w:t xml:space="preserve"> </w:t>
      </w:r>
      <w:r w:rsidR="005C66FC">
        <w:rPr>
          <w:sz w:val="26"/>
          <w:szCs w:val="26"/>
          <w:lang w:val="en-US"/>
        </w:rPr>
        <w:t xml:space="preserve">Tiền thuê phương tiện từ sân bay khi nhập cảnh đến nơi ở nước đến công tác </w:t>
      </w:r>
      <w:r w:rsidR="00C70442">
        <w:rPr>
          <w:sz w:val="26"/>
          <w:szCs w:val="26"/>
          <w:lang w:val="en-US"/>
        </w:rPr>
        <w:t>và ngược lại khi xuất</w:t>
      </w:r>
      <w:r w:rsidR="005D18B3">
        <w:rPr>
          <w:sz w:val="26"/>
          <w:szCs w:val="26"/>
          <w:lang w:val="en-US"/>
        </w:rPr>
        <w:t xml:space="preserve"> cảnh</w:t>
      </w:r>
      <w:r w:rsidR="00530F8C">
        <w:rPr>
          <w:sz w:val="26"/>
          <w:szCs w:val="26"/>
          <w:lang w:val="en-US"/>
        </w:rPr>
        <w:t>:</w:t>
      </w:r>
      <w:r w:rsidR="005D18B3">
        <w:rPr>
          <w:sz w:val="26"/>
          <w:szCs w:val="26"/>
          <w:lang w:val="en-US"/>
        </w:rPr>
        <w:t xml:space="preserve"> </w:t>
      </w:r>
      <w:r w:rsidR="005D18B3" w:rsidRPr="005D18B3">
        <w:rPr>
          <w:sz w:val="26"/>
          <w:szCs w:val="26"/>
          <w:lang w:val="en-US"/>
        </w:rPr>
        <w:t>thực hiện theo quy định hiện hành tại Thông tư của Bộ Tài chính quy định chế độ công tác phí cho cán bộ, công chức nhà nước đi công tác ngắn hạn ở nước ngoài do ngân sách nhà nước bảo đảm kinh phí</w:t>
      </w:r>
      <w:r w:rsidR="005D18B3">
        <w:rPr>
          <w:sz w:val="26"/>
          <w:szCs w:val="26"/>
          <w:lang w:val="en-US"/>
        </w:rPr>
        <w:t>.</w:t>
      </w:r>
    </w:p>
    <w:p w:rsidR="00120465" w:rsidRDefault="0087097E" w:rsidP="004E5CA1">
      <w:pPr>
        <w:widowControl w:val="0"/>
        <w:spacing w:before="120" w:after="120"/>
        <w:ind w:right="-3" w:firstLine="720"/>
        <w:jc w:val="both"/>
        <w:rPr>
          <w:sz w:val="26"/>
          <w:szCs w:val="26"/>
          <w:lang w:val="en-US"/>
        </w:rPr>
      </w:pPr>
      <w:r>
        <w:rPr>
          <w:sz w:val="26"/>
          <w:szCs w:val="26"/>
          <w:lang w:val="en-US"/>
        </w:rPr>
        <w:t>h</w:t>
      </w:r>
      <w:bookmarkStart w:id="0" w:name="_GoBack"/>
      <w:bookmarkEnd w:id="0"/>
      <w:r w:rsidR="00AC16B9">
        <w:rPr>
          <w:sz w:val="26"/>
          <w:szCs w:val="26"/>
          <w:lang w:val="en-US"/>
        </w:rPr>
        <w:t>)</w:t>
      </w:r>
      <w:r w:rsidR="005D18B3">
        <w:rPr>
          <w:sz w:val="26"/>
          <w:szCs w:val="26"/>
          <w:lang w:val="en-US"/>
        </w:rPr>
        <w:t xml:space="preserve"> </w:t>
      </w:r>
      <w:r w:rsidR="00442606">
        <w:rPr>
          <w:sz w:val="26"/>
          <w:szCs w:val="26"/>
          <w:lang w:val="en-US"/>
        </w:rPr>
        <w:t>Sinh hoạt phí</w:t>
      </w:r>
      <w:r w:rsidR="005D18B3" w:rsidRPr="005D18B3">
        <w:rPr>
          <w:sz w:val="26"/>
          <w:szCs w:val="26"/>
          <w:lang w:val="en-US"/>
        </w:rPr>
        <w:t>:</w:t>
      </w:r>
    </w:p>
    <w:p w:rsidR="00B40AAB" w:rsidRDefault="00B40AAB" w:rsidP="007A3D53">
      <w:pPr>
        <w:widowControl w:val="0"/>
        <w:spacing w:before="120" w:after="120"/>
        <w:ind w:firstLine="720"/>
        <w:jc w:val="both"/>
        <w:rPr>
          <w:sz w:val="26"/>
          <w:szCs w:val="26"/>
          <w:lang w:val="en-US"/>
        </w:rPr>
      </w:pPr>
      <w:r>
        <w:rPr>
          <w:sz w:val="26"/>
          <w:szCs w:val="26"/>
          <w:lang w:val="en-US"/>
        </w:rPr>
        <w:t>-</w:t>
      </w:r>
      <w:r w:rsidR="007A3D53">
        <w:rPr>
          <w:sz w:val="26"/>
          <w:szCs w:val="26"/>
          <w:lang w:val="en-US"/>
        </w:rPr>
        <w:t xml:space="preserve"> Chi đào tạo, bồi dưỡng ngắn hạn (dưới 6 tháng) ở nước ngoài</w:t>
      </w:r>
      <w:r>
        <w:rPr>
          <w:sz w:val="26"/>
          <w:szCs w:val="26"/>
          <w:lang w:val="en-US"/>
        </w:rPr>
        <w:t xml:space="preserve">: </w:t>
      </w:r>
    </w:p>
    <w:p w:rsidR="00530F8C" w:rsidRDefault="00442606" w:rsidP="00416987">
      <w:pPr>
        <w:widowControl w:val="0"/>
        <w:spacing w:before="120" w:after="120"/>
        <w:ind w:firstLine="720"/>
        <w:jc w:val="both"/>
        <w:rPr>
          <w:sz w:val="26"/>
          <w:szCs w:val="26"/>
          <w:lang w:val="vi-VN"/>
        </w:rPr>
      </w:pPr>
      <w:r>
        <w:rPr>
          <w:sz w:val="26"/>
          <w:szCs w:val="26"/>
          <w:lang w:val="en-US"/>
        </w:rPr>
        <w:t>Mức sinh hoạt phí bao gồm c</w:t>
      </w:r>
      <w:r w:rsidR="007A3D53" w:rsidRPr="004A6490">
        <w:rPr>
          <w:sz w:val="26"/>
          <w:szCs w:val="26"/>
          <w:lang w:val="vi-VN"/>
        </w:rPr>
        <w:t>hi</w:t>
      </w:r>
      <w:r w:rsidR="007A3D53">
        <w:rPr>
          <w:sz w:val="26"/>
          <w:szCs w:val="26"/>
          <w:lang w:val="vi-VN"/>
        </w:rPr>
        <w:t xml:space="preserve"> phí ăn và tiêu vặt, ở, đi lại </w:t>
      </w:r>
      <w:r w:rsidR="007A3D53" w:rsidRPr="004A6490">
        <w:rPr>
          <w:sz w:val="26"/>
          <w:szCs w:val="26"/>
          <w:lang w:val="vi-VN"/>
        </w:rPr>
        <w:t>được thực hiện theo quy định hiện hành tại Thông tư của Bộ Tài chính quy định chế độ công tác phí cho cán bộ, công chức nhà nước đi công tác ngắn hạn ở nước ngoài do ngân sách nhà nước bảo đảm kinh phí.</w:t>
      </w:r>
    </w:p>
    <w:p w:rsidR="00416987" w:rsidRDefault="00530F8C" w:rsidP="00416987">
      <w:pPr>
        <w:widowControl w:val="0"/>
        <w:spacing w:before="120" w:after="120"/>
        <w:ind w:firstLine="720"/>
        <w:jc w:val="both"/>
        <w:rPr>
          <w:sz w:val="26"/>
          <w:szCs w:val="26"/>
          <w:lang w:val="en-US"/>
        </w:rPr>
      </w:pPr>
      <w:r>
        <w:rPr>
          <w:sz w:val="26"/>
          <w:szCs w:val="26"/>
          <w:lang w:val="en-US"/>
        </w:rPr>
        <w:t>-</w:t>
      </w:r>
      <w:r w:rsidR="00186D5C">
        <w:rPr>
          <w:sz w:val="26"/>
          <w:szCs w:val="26"/>
          <w:lang w:val="en-US"/>
        </w:rPr>
        <w:t xml:space="preserve"> </w:t>
      </w:r>
      <w:r w:rsidR="00C62BD3">
        <w:rPr>
          <w:sz w:val="26"/>
          <w:szCs w:val="26"/>
          <w:lang w:val="en-US"/>
        </w:rPr>
        <w:t>Chi đào tạo, bồi dưỡng dài hạn (trên 6 tháng) ở nước ngoài</w:t>
      </w:r>
      <w:r>
        <w:rPr>
          <w:sz w:val="26"/>
          <w:szCs w:val="26"/>
          <w:lang w:val="en-US"/>
        </w:rPr>
        <w:t>:</w:t>
      </w:r>
    </w:p>
    <w:p w:rsidR="005B33E0" w:rsidRPr="0037027C" w:rsidRDefault="00881213" w:rsidP="005B33E0">
      <w:pPr>
        <w:widowControl w:val="0"/>
        <w:spacing w:before="120" w:after="120"/>
        <w:ind w:firstLine="720"/>
        <w:jc w:val="both"/>
        <w:rPr>
          <w:color w:val="000000"/>
          <w:sz w:val="26"/>
          <w:szCs w:val="26"/>
          <w:lang w:val="nl-NL"/>
        </w:rPr>
      </w:pPr>
      <w:r w:rsidRPr="0037027C">
        <w:rPr>
          <w:color w:val="000000"/>
          <w:sz w:val="26"/>
          <w:szCs w:val="26"/>
          <w:lang w:val="nl-NL"/>
        </w:rPr>
        <w:t>Mức sinh hoạt phí</w:t>
      </w:r>
      <w:r w:rsidR="00037AB5" w:rsidRPr="00037AB5">
        <w:t xml:space="preserve"> </w:t>
      </w:r>
      <w:r w:rsidR="00037AB5" w:rsidRPr="00037AB5">
        <w:rPr>
          <w:color w:val="000000"/>
          <w:sz w:val="26"/>
          <w:szCs w:val="26"/>
          <w:lang w:val="nl-NL"/>
        </w:rPr>
        <w:t>bao gồm tiền ăn, ở, chi phí đi lại hàng ngày, tiền tài liệu và đồ dùng học tập</w:t>
      </w:r>
      <w:r w:rsidRPr="0037027C">
        <w:rPr>
          <w:color w:val="000000"/>
          <w:sz w:val="26"/>
          <w:szCs w:val="26"/>
          <w:lang w:val="nl-NL"/>
        </w:rPr>
        <w:t xml:space="preserve"> </w:t>
      </w:r>
      <w:r w:rsidR="00B5025E" w:rsidRPr="0037027C">
        <w:rPr>
          <w:color w:val="000000"/>
          <w:sz w:val="26"/>
          <w:szCs w:val="26"/>
          <w:lang w:val="nl-NL"/>
        </w:rPr>
        <w:t xml:space="preserve">thực hiện theo </w:t>
      </w:r>
      <w:r w:rsidRPr="0037027C">
        <w:rPr>
          <w:color w:val="000000"/>
          <w:sz w:val="26"/>
          <w:szCs w:val="26"/>
          <w:lang w:val="nl-NL"/>
        </w:rPr>
        <w:t xml:space="preserve">quy định tại Phụ lục kèm theo Thông tư </w:t>
      </w:r>
      <w:r w:rsidR="005B33E0" w:rsidRPr="0037027C">
        <w:rPr>
          <w:iCs/>
          <w:sz w:val="26"/>
          <w:szCs w:val="26"/>
          <w:lang w:val="en-US"/>
        </w:rPr>
        <w:t>số 88/2017/TT-BTC ngày 22 tháng 8 năm 2017 của Bộ Tài chính ngày 22 tháng 8 năm 2017 hướng dẫn cơ chế tài chính thực hiện Đề án đào tạo, bồi dưỡng nhân lực khoa học và công nghệ ở trong nước và nước ngoài bằng ngân sách nhà nước</w:t>
      </w:r>
      <w:r w:rsidRPr="0037027C">
        <w:rPr>
          <w:color w:val="000000"/>
          <w:sz w:val="26"/>
          <w:szCs w:val="26"/>
          <w:lang w:val="nl-NL"/>
        </w:rPr>
        <w:t>. Sinh hoạt phí được cấp theo thời gian học tập thực tế ở nước ngoài (từ ngày nhập học đến ngày kết thúc khóa học nhưng không vượt quá thời gian ghi trong quyết định cử đi đào tạo, bồi dưỡng).</w:t>
      </w:r>
    </w:p>
    <w:p w:rsidR="00484220" w:rsidRDefault="00EE430D" w:rsidP="008E70FE">
      <w:pPr>
        <w:spacing w:before="120" w:after="120"/>
        <w:ind w:firstLine="720"/>
        <w:jc w:val="both"/>
        <w:rPr>
          <w:sz w:val="26"/>
          <w:szCs w:val="26"/>
          <w:lang w:val="en-US"/>
        </w:rPr>
      </w:pPr>
      <w:r w:rsidRPr="004A6490">
        <w:rPr>
          <w:b/>
          <w:bCs/>
          <w:sz w:val="26"/>
          <w:szCs w:val="26"/>
          <w:lang w:val="vi-VN"/>
        </w:rPr>
        <w:t>Điều 2.</w:t>
      </w:r>
      <w:r w:rsidRPr="004A6490">
        <w:rPr>
          <w:sz w:val="26"/>
          <w:szCs w:val="26"/>
          <w:lang w:val="vi-VN"/>
        </w:rPr>
        <w:t xml:space="preserve"> Kinh phí thực hiện:</w:t>
      </w:r>
    </w:p>
    <w:p w:rsidR="007221CD" w:rsidRDefault="007221CD" w:rsidP="008E70FE">
      <w:pPr>
        <w:spacing w:before="120" w:after="120"/>
        <w:ind w:firstLine="720"/>
        <w:jc w:val="both"/>
        <w:rPr>
          <w:sz w:val="26"/>
          <w:szCs w:val="26"/>
          <w:lang w:val="en-US"/>
        </w:rPr>
      </w:pPr>
      <w:r w:rsidRPr="004A6490">
        <w:rPr>
          <w:sz w:val="26"/>
          <w:szCs w:val="26"/>
          <w:lang w:val="vi-VN"/>
        </w:rPr>
        <w:t>Kinh phí hỗ trợ đào tạo, bồi dưỡng theo Đề án 2012 từ nguồn kinh phí sự nghiệp khoa</w:t>
      </w:r>
      <w:r w:rsidR="00484220">
        <w:rPr>
          <w:sz w:val="26"/>
          <w:szCs w:val="26"/>
          <w:lang w:val="vi-VN"/>
        </w:rPr>
        <w:t xml:space="preserve"> học và công nghệ của Thành phố</w:t>
      </w:r>
      <w:r w:rsidR="00484220">
        <w:rPr>
          <w:sz w:val="26"/>
          <w:szCs w:val="26"/>
          <w:lang w:val="en-US"/>
        </w:rPr>
        <w:t>.</w:t>
      </w:r>
    </w:p>
    <w:p w:rsidR="00EE430D" w:rsidRPr="004A6490" w:rsidRDefault="00EE430D" w:rsidP="008E70FE">
      <w:pPr>
        <w:spacing w:before="120" w:after="120"/>
        <w:ind w:firstLine="720"/>
        <w:jc w:val="both"/>
        <w:rPr>
          <w:sz w:val="26"/>
          <w:szCs w:val="26"/>
        </w:rPr>
      </w:pPr>
      <w:r w:rsidRPr="004A6490">
        <w:rPr>
          <w:b/>
          <w:bCs/>
          <w:sz w:val="26"/>
          <w:szCs w:val="26"/>
          <w:lang w:val="vi-VN"/>
        </w:rPr>
        <w:t>Điều 3.</w:t>
      </w:r>
      <w:r w:rsidRPr="004A6490">
        <w:rPr>
          <w:sz w:val="26"/>
          <w:szCs w:val="26"/>
          <w:lang w:val="vi-VN"/>
        </w:rPr>
        <w:t xml:space="preserve"> Tổ chức thực hiện:</w:t>
      </w:r>
    </w:p>
    <w:p w:rsidR="00792CD0" w:rsidRPr="004A6490" w:rsidRDefault="00792CD0" w:rsidP="008E70FE">
      <w:pPr>
        <w:widowControl w:val="0"/>
        <w:spacing w:before="120" w:after="120"/>
        <w:ind w:right="-3" w:firstLine="720"/>
        <w:jc w:val="both"/>
        <w:rPr>
          <w:sz w:val="26"/>
          <w:szCs w:val="26"/>
          <w:lang w:val="vi-VN"/>
        </w:rPr>
      </w:pPr>
      <w:r w:rsidRPr="004A6490">
        <w:rPr>
          <w:sz w:val="26"/>
          <w:szCs w:val="26"/>
          <w:lang w:val="vi-VN"/>
        </w:rPr>
        <w:t>1. Thủ trưởng các cơ quan, đơn vị chịu trách nhiệm thi hành quy định này.</w:t>
      </w:r>
    </w:p>
    <w:p w:rsidR="00792CD0" w:rsidRPr="004A6490" w:rsidRDefault="00792CD0" w:rsidP="008E70FE">
      <w:pPr>
        <w:widowControl w:val="0"/>
        <w:spacing w:before="120" w:after="120"/>
        <w:ind w:right="-3" w:firstLine="720"/>
        <w:jc w:val="both"/>
        <w:rPr>
          <w:sz w:val="26"/>
          <w:szCs w:val="26"/>
          <w:lang w:val="vi-VN"/>
        </w:rPr>
      </w:pPr>
      <w:r w:rsidRPr="004A6490">
        <w:rPr>
          <w:sz w:val="26"/>
          <w:szCs w:val="26"/>
          <w:lang w:val="vi-VN"/>
        </w:rPr>
        <w:t xml:space="preserve">2. Căn cứ mức chi tối đa </w:t>
      </w:r>
      <w:r w:rsidR="008E7217">
        <w:rPr>
          <w:sz w:val="26"/>
          <w:szCs w:val="26"/>
          <w:lang w:val="en-US"/>
        </w:rPr>
        <w:t>quy định tại Điều 1 của Nghị quyết này</w:t>
      </w:r>
      <w:r w:rsidRPr="004A6490">
        <w:rPr>
          <w:sz w:val="26"/>
          <w:szCs w:val="26"/>
          <w:lang w:val="vi-VN"/>
        </w:rPr>
        <w:t xml:space="preserve"> và trong phạm vi nguồn kinh phí được giao, Thủ trưởng cơ quan được giao chủ trì thực hiện Đề án 2012 chịu trách nhiệm về quyết định chi theo chế độ, tiêu chuẩn, mức chi và định mức; chịu trách nhiệm về tính chính xác, tính pháp lý của các hồ sơ, chứng từ gửi Kho bạc Nhà nước. </w:t>
      </w:r>
    </w:p>
    <w:p w:rsidR="00792CD0" w:rsidRPr="004A6490" w:rsidRDefault="00792CD0" w:rsidP="008E70FE">
      <w:pPr>
        <w:widowControl w:val="0"/>
        <w:spacing w:before="120" w:after="120"/>
        <w:ind w:right="-3" w:firstLine="720"/>
        <w:jc w:val="both"/>
        <w:rPr>
          <w:sz w:val="26"/>
          <w:szCs w:val="26"/>
          <w:lang w:val="vi-VN"/>
        </w:rPr>
      </w:pPr>
      <w:r w:rsidRPr="004A6490">
        <w:rPr>
          <w:sz w:val="26"/>
          <w:szCs w:val="26"/>
          <w:lang w:val="vi-VN"/>
        </w:rPr>
        <w:lastRenderedPageBreak/>
        <w:t xml:space="preserve">3. Thủ trưởng cơ quan được giao chủ trì thực hiện Đề án 2012 kiểm tra việc quản lý và sử dụng kinh phí theo đúng mục tiêu, đối tượng và chế độ tài chính </w:t>
      </w:r>
      <w:r w:rsidR="008E7217">
        <w:rPr>
          <w:sz w:val="26"/>
          <w:szCs w:val="26"/>
          <w:lang w:val="en-US"/>
        </w:rPr>
        <w:t>Nghị quyết</w:t>
      </w:r>
      <w:r w:rsidRPr="004A6490">
        <w:rPr>
          <w:sz w:val="26"/>
          <w:szCs w:val="26"/>
          <w:lang w:val="vi-VN"/>
        </w:rPr>
        <w:t xml:space="preserve"> này. Xem xét, xử lý các trường hợp không hoàn thành chương trình đào tạo, bồi dưỡng và ban hành quyết định yêu cầu bồi hoàn chi phí đào tạo từ ngân sách nhà nước.</w:t>
      </w:r>
    </w:p>
    <w:p w:rsidR="00792CD0" w:rsidRPr="004A6490" w:rsidRDefault="00792CD0" w:rsidP="008E70FE">
      <w:pPr>
        <w:widowControl w:val="0"/>
        <w:spacing w:before="120" w:after="120"/>
        <w:ind w:right="-3" w:firstLine="720"/>
        <w:jc w:val="both"/>
        <w:rPr>
          <w:sz w:val="26"/>
          <w:szCs w:val="26"/>
          <w:lang w:val="vi-VN"/>
        </w:rPr>
      </w:pPr>
      <w:r w:rsidRPr="004A6490">
        <w:rPr>
          <w:sz w:val="26"/>
          <w:szCs w:val="26"/>
          <w:lang w:val="vi-VN"/>
        </w:rPr>
        <w:t>4. Trong quá trình thực hiện nếu có vướng mắc phát sinh, các cơ quan, đơn vị kịp thời báo cáo Ủy ban nhân dân Thành phố trình Hội đồng nhân dân Thành phố xem xét sửa đổi, bổ sung cho phù hợp.</w:t>
      </w:r>
    </w:p>
    <w:p w:rsidR="00EE430D" w:rsidRPr="004A6490" w:rsidRDefault="00EE430D" w:rsidP="008E70FE">
      <w:pPr>
        <w:spacing w:before="240" w:after="120"/>
        <w:ind w:firstLine="720"/>
        <w:jc w:val="both"/>
        <w:rPr>
          <w:sz w:val="26"/>
          <w:szCs w:val="26"/>
        </w:rPr>
      </w:pPr>
      <w:r w:rsidRPr="004A6490">
        <w:rPr>
          <w:sz w:val="26"/>
          <w:szCs w:val="26"/>
          <w:lang w:val="vi-VN"/>
        </w:rPr>
        <w:t xml:space="preserve">Nghị quyết này đã được Hội đồng nhân dân Thành phố Hồ Chí Minh khóa IX, kỳ họp </w:t>
      </w:r>
      <w:r w:rsidR="00792CD0" w:rsidRPr="004A6490">
        <w:rPr>
          <w:sz w:val="26"/>
          <w:szCs w:val="26"/>
          <w:lang w:val="en-US"/>
        </w:rPr>
        <w:t>….</w:t>
      </w:r>
      <w:r w:rsidRPr="004A6490">
        <w:rPr>
          <w:sz w:val="26"/>
          <w:szCs w:val="26"/>
          <w:lang w:val="vi-VN"/>
        </w:rPr>
        <w:t xml:space="preserve"> thông qua ngày </w:t>
      </w:r>
      <w:r w:rsidR="00792CD0" w:rsidRPr="004A6490">
        <w:rPr>
          <w:sz w:val="26"/>
          <w:szCs w:val="26"/>
          <w:lang w:val="en-US"/>
        </w:rPr>
        <w:t xml:space="preserve">   </w:t>
      </w:r>
      <w:r w:rsidRPr="004A6490">
        <w:rPr>
          <w:sz w:val="26"/>
          <w:szCs w:val="26"/>
          <w:lang w:val="vi-VN"/>
        </w:rPr>
        <w:t xml:space="preserve">tháng </w:t>
      </w:r>
      <w:r w:rsidR="00792CD0" w:rsidRPr="004A6490">
        <w:rPr>
          <w:sz w:val="26"/>
          <w:szCs w:val="26"/>
          <w:lang w:val="en-US"/>
        </w:rPr>
        <w:t xml:space="preserve">  </w:t>
      </w:r>
      <w:r w:rsidRPr="004A6490">
        <w:rPr>
          <w:sz w:val="26"/>
          <w:szCs w:val="26"/>
          <w:lang w:val="vi-VN"/>
        </w:rPr>
        <w:t>năm 201</w:t>
      </w:r>
      <w:r w:rsidR="00792CD0" w:rsidRPr="004A6490">
        <w:rPr>
          <w:sz w:val="26"/>
          <w:szCs w:val="26"/>
          <w:lang w:val="en-US"/>
        </w:rPr>
        <w:t>9</w:t>
      </w:r>
      <w:r w:rsidRPr="004A6490">
        <w:rPr>
          <w:sz w:val="26"/>
          <w:szCs w:val="26"/>
          <w:lang w:val="vi-VN"/>
        </w:rPr>
        <w:t>./.</w:t>
      </w:r>
    </w:p>
    <w:p w:rsidR="00EE430D" w:rsidRDefault="00EE430D" w:rsidP="00792CD0">
      <w:pPr>
        <w:spacing w:before="120" w:after="280" w:afterAutospacing="1"/>
        <w:jc w:val="both"/>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187"/>
        <w:gridCol w:w="2909"/>
        <w:gridCol w:w="3192"/>
      </w:tblGrid>
      <w:tr w:rsidR="004A6490" w:rsidTr="004A6490">
        <w:tc>
          <w:tcPr>
            <w:tcW w:w="3277" w:type="dxa"/>
            <w:tcBorders>
              <w:top w:val="nil"/>
              <w:left w:val="nil"/>
              <w:bottom w:val="nil"/>
              <w:right w:val="nil"/>
              <w:tl2br w:val="nil"/>
              <w:tr2bl w:val="nil"/>
            </w:tcBorders>
            <w:shd w:val="clear" w:color="auto" w:fill="auto"/>
            <w:tcMar>
              <w:top w:w="0" w:type="dxa"/>
              <w:left w:w="108" w:type="dxa"/>
              <w:bottom w:w="0" w:type="dxa"/>
              <w:right w:w="108" w:type="dxa"/>
            </w:tcMar>
          </w:tcPr>
          <w:p w:rsidR="004A6490" w:rsidRDefault="004A6490" w:rsidP="00C27040">
            <w:pPr>
              <w:spacing w:before="120"/>
            </w:pPr>
            <w:r>
              <w:rPr>
                <w:lang w:val="vi-VN"/>
              </w:rPr>
              <w:br/>
            </w:r>
            <w:r>
              <w:rPr>
                <w:b/>
                <w:bCs/>
                <w:i/>
                <w:iCs/>
                <w:lang w:val="vi-VN"/>
              </w:rPr>
              <w:t>Nơi nhận:</w:t>
            </w:r>
            <w:r>
              <w:rPr>
                <w:b/>
                <w:bCs/>
                <w:i/>
                <w:iCs/>
                <w:lang w:val="vi-VN"/>
              </w:rPr>
              <w:br/>
            </w:r>
            <w:r>
              <w:rPr>
                <w:sz w:val="16"/>
                <w:lang w:val="vi-VN"/>
              </w:rPr>
              <w:t>- Ủy ban Thường vụ Quốc hội;</w:t>
            </w:r>
            <w:r>
              <w:rPr>
                <w:sz w:val="16"/>
                <w:lang w:val="vi-VN"/>
              </w:rPr>
              <w:br/>
              <w:t>- Văn phòng Quốc hội; Ban Công tác đại biểu QH;</w:t>
            </w:r>
            <w:r>
              <w:rPr>
                <w:sz w:val="16"/>
                <w:lang w:val="vi-VN"/>
              </w:rPr>
              <w:br/>
              <w:t>- Cục Kiểm tra văn bản - Bộ Tư pháp;</w:t>
            </w:r>
            <w:r>
              <w:rPr>
                <w:sz w:val="16"/>
                <w:lang w:val="vi-VN"/>
              </w:rPr>
              <w:br/>
              <w:t>- Thường trực Thành ủy;</w:t>
            </w:r>
            <w:r>
              <w:rPr>
                <w:sz w:val="16"/>
                <w:lang w:val="vi-VN"/>
              </w:rPr>
              <w:br/>
              <w:t>- Thường trực HĐND thành phố;</w:t>
            </w:r>
            <w:r>
              <w:rPr>
                <w:sz w:val="16"/>
                <w:lang w:val="vi-VN"/>
              </w:rPr>
              <w:br/>
              <w:t xml:space="preserve">- TT UBND thành phố: CT, các Phó CT; </w:t>
            </w:r>
            <w:r>
              <w:rPr>
                <w:sz w:val="16"/>
              </w:rPr>
              <w:br/>
            </w:r>
            <w:r>
              <w:rPr>
                <w:sz w:val="16"/>
                <w:lang w:val="vi-VN"/>
              </w:rPr>
              <w:t xml:space="preserve">- Ủy ban Mặt </w:t>
            </w:r>
            <w:r>
              <w:rPr>
                <w:sz w:val="16"/>
              </w:rPr>
              <w:t>tr</w:t>
            </w:r>
            <w:r>
              <w:rPr>
                <w:sz w:val="16"/>
                <w:lang w:val="vi-VN"/>
              </w:rPr>
              <w:t>ận Tổ quốc Việt Nam Thành phố;</w:t>
            </w:r>
            <w:r>
              <w:rPr>
                <w:sz w:val="16"/>
                <w:lang w:val="vi-VN"/>
              </w:rPr>
              <w:br/>
              <w:t>- Đoàn Đại biểu Quốc hội Thành phố;</w:t>
            </w:r>
            <w:r>
              <w:rPr>
                <w:sz w:val="16"/>
                <w:lang w:val="vi-VN"/>
              </w:rPr>
              <w:br/>
              <w:t>- Đại biểu HĐND Thành phố;</w:t>
            </w:r>
            <w:r>
              <w:rPr>
                <w:sz w:val="16"/>
                <w:lang w:val="vi-VN"/>
              </w:rPr>
              <w:br/>
              <w:t>- Văn phòng Thành ủy;</w:t>
            </w:r>
            <w:r>
              <w:rPr>
                <w:sz w:val="16"/>
                <w:lang w:val="vi-VN"/>
              </w:rPr>
              <w:br/>
              <w:t>- Văn phòng UBND thành phố;</w:t>
            </w:r>
            <w:r>
              <w:rPr>
                <w:sz w:val="16"/>
                <w:lang w:val="vi-VN"/>
              </w:rPr>
              <w:br/>
              <w:t>- Các sở, ban, ngành Thành phố;</w:t>
            </w:r>
            <w:r>
              <w:rPr>
                <w:sz w:val="16"/>
                <w:lang w:val="vi-VN"/>
              </w:rPr>
              <w:br/>
              <w:t>- Trung tâm Công báo thành phố;</w:t>
            </w:r>
            <w:r>
              <w:rPr>
                <w:sz w:val="16"/>
                <w:lang w:val="vi-VN"/>
              </w:rPr>
              <w:br/>
              <w:t>- HĐND, UBND quận, huyện;</w:t>
            </w:r>
            <w:r>
              <w:rPr>
                <w:sz w:val="16"/>
              </w:rPr>
              <w:br/>
            </w:r>
            <w:r>
              <w:rPr>
                <w:sz w:val="16"/>
                <w:lang w:val="vi-VN"/>
              </w:rPr>
              <w:t>- Văn phòng HĐND thành phố;</w:t>
            </w:r>
            <w:r>
              <w:rPr>
                <w:sz w:val="16"/>
                <w:lang w:val="vi-VN"/>
              </w:rPr>
              <w:br/>
              <w:t>- Lưu: VT, (</w:t>
            </w:r>
            <w:r w:rsidR="00C27040">
              <w:rPr>
                <w:sz w:val="16"/>
                <w:lang w:val="en-US"/>
              </w:rPr>
              <w:t xml:space="preserve">    </w:t>
            </w:r>
            <w:r>
              <w:rPr>
                <w:sz w:val="16"/>
                <w:lang w:val="vi-VN"/>
              </w:rPr>
              <w:t>).</w:t>
            </w:r>
          </w:p>
        </w:tc>
        <w:tc>
          <w:tcPr>
            <w:tcW w:w="3018" w:type="dxa"/>
            <w:tcBorders>
              <w:top w:val="nil"/>
              <w:left w:val="nil"/>
              <w:bottom w:val="nil"/>
              <w:right w:val="nil"/>
              <w:tl2br w:val="nil"/>
              <w:tr2bl w:val="nil"/>
            </w:tcBorders>
          </w:tcPr>
          <w:p w:rsidR="004A6490" w:rsidRDefault="004A6490" w:rsidP="00792CD0">
            <w:pPr>
              <w:spacing w:before="120"/>
              <w:jc w:val="center"/>
              <w:rPr>
                <w:b/>
                <w:bCs/>
              </w:rPr>
            </w:pPr>
          </w:p>
        </w:tc>
        <w:tc>
          <w:tcPr>
            <w:tcW w:w="3281" w:type="dxa"/>
            <w:tcBorders>
              <w:top w:val="nil"/>
              <w:left w:val="nil"/>
              <w:bottom w:val="nil"/>
              <w:right w:val="nil"/>
              <w:tl2br w:val="nil"/>
              <w:tr2bl w:val="nil"/>
            </w:tcBorders>
            <w:shd w:val="clear" w:color="auto" w:fill="auto"/>
            <w:tcMar>
              <w:top w:w="0" w:type="dxa"/>
              <w:left w:w="108" w:type="dxa"/>
              <w:bottom w:w="0" w:type="dxa"/>
              <w:right w:w="108" w:type="dxa"/>
            </w:tcMar>
          </w:tcPr>
          <w:p w:rsidR="004A6490" w:rsidRDefault="004A6490" w:rsidP="00792CD0">
            <w:pPr>
              <w:spacing w:before="120"/>
              <w:jc w:val="center"/>
            </w:pPr>
            <w:r>
              <w:rPr>
                <w:b/>
                <w:bCs/>
              </w:rPr>
              <w:t>CHỦ TỊCH</w:t>
            </w:r>
            <w:r>
              <w:rPr>
                <w:b/>
                <w:bCs/>
              </w:rPr>
              <w:br/>
            </w:r>
            <w:r>
              <w:rPr>
                <w:b/>
                <w:bCs/>
              </w:rPr>
              <w:br/>
            </w:r>
            <w:r>
              <w:rPr>
                <w:b/>
                <w:bCs/>
              </w:rPr>
              <w:br/>
            </w:r>
            <w:r>
              <w:rPr>
                <w:b/>
                <w:bCs/>
              </w:rPr>
              <w:br/>
            </w:r>
            <w:r>
              <w:rPr>
                <w:b/>
                <w:bCs/>
              </w:rPr>
              <w:br/>
            </w:r>
          </w:p>
        </w:tc>
      </w:tr>
    </w:tbl>
    <w:p w:rsidR="00EE430D" w:rsidRDefault="00EE430D" w:rsidP="0087452A">
      <w:pPr>
        <w:spacing w:before="120" w:after="100" w:afterAutospacing="1"/>
      </w:pPr>
      <w:r>
        <w:t> </w:t>
      </w:r>
    </w:p>
    <w:sectPr w:rsidR="00EE430D" w:rsidSect="00C27040">
      <w:footerReference w:type="default" r:id="rId6"/>
      <w:pgSz w:w="11907" w:h="16839" w:code="9"/>
      <w:pgMar w:top="1134" w:right="1134" w:bottom="1134" w:left="1701"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73B" w:rsidRDefault="00F2373B" w:rsidP="001C763C">
      <w:r>
        <w:separator/>
      </w:r>
    </w:p>
  </w:endnote>
  <w:endnote w:type="continuationSeparator" w:id="0">
    <w:p w:rsidR="00F2373B" w:rsidRDefault="00F2373B" w:rsidP="001C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763C" w:rsidRDefault="00EA61BD">
    <w:pPr>
      <w:pStyle w:val="Footer"/>
      <w:jc w:val="right"/>
    </w:pPr>
    <w:r>
      <w:fldChar w:fldCharType="begin"/>
    </w:r>
    <w:r w:rsidR="00AD218E">
      <w:instrText xml:space="preserve"> PAGE   \* MERGEFORMAT </w:instrText>
    </w:r>
    <w:r>
      <w:fldChar w:fldCharType="separate"/>
    </w:r>
    <w:r w:rsidR="0087097E">
      <w:rPr>
        <w:noProof/>
      </w:rPr>
      <w:t>3</w:t>
    </w:r>
    <w:r>
      <w:rPr>
        <w:noProof/>
      </w:rPr>
      <w:fldChar w:fldCharType="end"/>
    </w:r>
  </w:p>
  <w:p w:rsidR="001C763C" w:rsidRDefault="001C76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73B" w:rsidRDefault="00F2373B" w:rsidP="001C763C">
      <w:r>
        <w:separator/>
      </w:r>
    </w:p>
  </w:footnote>
  <w:footnote w:type="continuationSeparator" w:id="0">
    <w:p w:rsidR="00F2373B" w:rsidRDefault="00F2373B" w:rsidP="001C7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73EFE"/>
    <w:rsid w:val="000123C1"/>
    <w:rsid w:val="000324D2"/>
    <w:rsid w:val="00037A3F"/>
    <w:rsid w:val="00037AB5"/>
    <w:rsid w:val="0004114C"/>
    <w:rsid w:val="000417AD"/>
    <w:rsid w:val="000619F2"/>
    <w:rsid w:val="00065D4A"/>
    <w:rsid w:val="00080C27"/>
    <w:rsid w:val="000A68FD"/>
    <w:rsid w:val="000C41D9"/>
    <w:rsid w:val="00120465"/>
    <w:rsid w:val="001715A7"/>
    <w:rsid w:val="001758F8"/>
    <w:rsid w:val="00186D5C"/>
    <w:rsid w:val="00197EF0"/>
    <w:rsid w:val="001A03FF"/>
    <w:rsid w:val="001A4D17"/>
    <w:rsid w:val="001C763C"/>
    <w:rsid w:val="001F2F79"/>
    <w:rsid w:val="00217C57"/>
    <w:rsid w:val="00217FD9"/>
    <w:rsid w:val="00236D3E"/>
    <w:rsid w:val="00253951"/>
    <w:rsid w:val="002559DA"/>
    <w:rsid w:val="00255A13"/>
    <w:rsid w:val="00262EE3"/>
    <w:rsid w:val="00265FB8"/>
    <w:rsid w:val="00274570"/>
    <w:rsid w:val="00282D63"/>
    <w:rsid w:val="002A0602"/>
    <w:rsid w:val="002E6EF1"/>
    <w:rsid w:val="0036084E"/>
    <w:rsid w:val="0037027C"/>
    <w:rsid w:val="00384D14"/>
    <w:rsid w:val="00393EC6"/>
    <w:rsid w:val="003A3B4D"/>
    <w:rsid w:val="003C08A4"/>
    <w:rsid w:val="003C320C"/>
    <w:rsid w:val="003C3B60"/>
    <w:rsid w:val="003C7AE9"/>
    <w:rsid w:val="003E33F2"/>
    <w:rsid w:val="003E40C4"/>
    <w:rsid w:val="003E700A"/>
    <w:rsid w:val="003F6EDF"/>
    <w:rsid w:val="00402583"/>
    <w:rsid w:val="00416987"/>
    <w:rsid w:val="00426E08"/>
    <w:rsid w:val="00430566"/>
    <w:rsid w:val="00442606"/>
    <w:rsid w:val="00484220"/>
    <w:rsid w:val="0049766F"/>
    <w:rsid w:val="004A6490"/>
    <w:rsid w:val="004E3230"/>
    <w:rsid w:val="004E4F0C"/>
    <w:rsid w:val="004E5CA1"/>
    <w:rsid w:val="004F0CE6"/>
    <w:rsid w:val="004F70FE"/>
    <w:rsid w:val="00530F8C"/>
    <w:rsid w:val="00546C49"/>
    <w:rsid w:val="0055226A"/>
    <w:rsid w:val="00572C90"/>
    <w:rsid w:val="00576AA0"/>
    <w:rsid w:val="0059069A"/>
    <w:rsid w:val="005B33E0"/>
    <w:rsid w:val="005C5F32"/>
    <w:rsid w:val="005C66FC"/>
    <w:rsid w:val="005D18B3"/>
    <w:rsid w:val="005D3368"/>
    <w:rsid w:val="005D6165"/>
    <w:rsid w:val="0065141F"/>
    <w:rsid w:val="00673EFE"/>
    <w:rsid w:val="0068353A"/>
    <w:rsid w:val="006976AE"/>
    <w:rsid w:val="006A75F6"/>
    <w:rsid w:val="006C0768"/>
    <w:rsid w:val="006D45A9"/>
    <w:rsid w:val="006E4ECF"/>
    <w:rsid w:val="006E5D93"/>
    <w:rsid w:val="00700C26"/>
    <w:rsid w:val="007123DD"/>
    <w:rsid w:val="007221CD"/>
    <w:rsid w:val="00763A76"/>
    <w:rsid w:val="007647DA"/>
    <w:rsid w:val="00764EE9"/>
    <w:rsid w:val="007767C3"/>
    <w:rsid w:val="007873DF"/>
    <w:rsid w:val="00792CD0"/>
    <w:rsid w:val="007950C8"/>
    <w:rsid w:val="007A3D53"/>
    <w:rsid w:val="007C5B8F"/>
    <w:rsid w:val="007D5F0B"/>
    <w:rsid w:val="007F21A5"/>
    <w:rsid w:val="007F5BA8"/>
    <w:rsid w:val="00811FCD"/>
    <w:rsid w:val="008333C2"/>
    <w:rsid w:val="00834C8B"/>
    <w:rsid w:val="00854EEA"/>
    <w:rsid w:val="0085752E"/>
    <w:rsid w:val="008616C7"/>
    <w:rsid w:val="00861A6B"/>
    <w:rsid w:val="00865D14"/>
    <w:rsid w:val="0087097E"/>
    <w:rsid w:val="0087452A"/>
    <w:rsid w:val="00881213"/>
    <w:rsid w:val="0088222F"/>
    <w:rsid w:val="00896DC6"/>
    <w:rsid w:val="008A2219"/>
    <w:rsid w:val="008C0E88"/>
    <w:rsid w:val="008C3331"/>
    <w:rsid w:val="008E0395"/>
    <w:rsid w:val="008E1C7B"/>
    <w:rsid w:val="008E70FE"/>
    <w:rsid w:val="008E7217"/>
    <w:rsid w:val="008F4692"/>
    <w:rsid w:val="009105A6"/>
    <w:rsid w:val="00912346"/>
    <w:rsid w:val="00921DCE"/>
    <w:rsid w:val="0092773F"/>
    <w:rsid w:val="00933A96"/>
    <w:rsid w:val="00962399"/>
    <w:rsid w:val="00962C3D"/>
    <w:rsid w:val="009753B9"/>
    <w:rsid w:val="009816D5"/>
    <w:rsid w:val="00987954"/>
    <w:rsid w:val="009A4783"/>
    <w:rsid w:val="009B0886"/>
    <w:rsid w:val="009C052E"/>
    <w:rsid w:val="009C44E9"/>
    <w:rsid w:val="00A22138"/>
    <w:rsid w:val="00A23800"/>
    <w:rsid w:val="00A250A6"/>
    <w:rsid w:val="00A37960"/>
    <w:rsid w:val="00A66D8C"/>
    <w:rsid w:val="00AC0D70"/>
    <w:rsid w:val="00AC16B9"/>
    <w:rsid w:val="00AD218E"/>
    <w:rsid w:val="00AE190F"/>
    <w:rsid w:val="00B26B52"/>
    <w:rsid w:val="00B32E32"/>
    <w:rsid w:val="00B342CC"/>
    <w:rsid w:val="00B40AAB"/>
    <w:rsid w:val="00B5025E"/>
    <w:rsid w:val="00B706F9"/>
    <w:rsid w:val="00B766A8"/>
    <w:rsid w:val="00B84CA7"/>
    <w:rsid w:val="00B87D6D"/>
    <w:rsid w:val="00B95479"/>
    <w:rsid w:val="00BF6831"/>
    <w:rsid w:val="00BF6941"/>
    <w:rsid w:val="00BF6D31"/>
    <w:rsid w:val="00C007A3"/>
    <w:rsid w:val="00C00BB7"/>
    <w:rsid w:val="00C043F1"/>
    <w:rsid w:val="00C05130"/>
    <w:rsid w:val="00C26BB4"/>
    <w:rsid w:val="00C27040"/>
    <w:rsid w:val="00C42D23"/>
    <w:rsid w:val="00C50298"/>
    <w:rsid w:val="00C57644"/>
    <w:rsid w:val="00C612F2"/>
    <w:rsid w:val="00C62BD3"/>
    <w:rsid w:val="00C70442"/>
    <w:rsid w:val="00C73205"/>
    <w:rsid w:val="00C7375E"/>
    <w:rsid w:val="00C76DDA"/>
    <w:rsid w:val="00C81F64"/>
    <w:rsid w:val="00CF0584"/>
    <w:rsid w:val="00D04E2F"/>
    <w:rsid w:val="00D24BC3"/>
    <w:rsid w:val="00D708AD"/>
    <w:rsid w:val="00DA471C"/>
    <w:rsid w:val="00DC6A13"/>
    <w:rsid w:val="00DE31AA"/>
    <w:rsid w:val="00E057D6"/>
    <w:rsid w:val="00E10A9C"/>
    <w:rsid w:val="00E41A07"/>
    <w:rsid w:val="00E51158"/>
    <w:rsid w:val="00E51329"/>
    <w:rsid w:val="00E60E8B"/>
    <w:rsid w:val="00E61C4D"/>
    <w:rsid w:val="00E66CDF"/>
    <w:rsid w:val="00E740F6"/>
    <w:rsid w:val="00E75734"/>
    <w:rsid w:val="00E76B1A"/>
    <w:rsid w:val="00E856E4"/>
    <w:rsid w:val="00EA61BD"/>
    <w:rsid w:val="00EC3149"/>
    <w:rsid w:val="00EE430D"/>
    <w:rsid w:val="00F2373B"/>
    <w:rsid w:val="00F24508"/>
    <w:rsid w:val="00F32602"/>
    <w:rsid w:val="00F35B90"/>
    <w:rsid w:val="00F37DEA"/>
    <w:rsid w:val="00F469FE"/>
    <w:rsid w:val="00F71BBE"/>
    <w:rsid w:val="00F72C04"/>
    <w:rsid w:val="00FA671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26"/>
      </o:rules>
    </o:shapelayout>
  </w:shapeDefaults>
  <w:decimalSymbol w:val="."/>
  <w:listSeparator w:val=","/>
  <w15:docId w15:val="{E9FA8F4F-10AA-49A8-9DC4-9395B667D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763C"/>
    <w:pPr>
      <w:tabs>
        <w:tab w:val="center" w:pos="4513"/>
        <w:tab w:val="right" w:pos="9026"/>
      </w:tabs>
    </w:pPr>
  </w:style>
  <w:style w:type="character" w:customStyle="1" w:styleId="HeaderChar">
    <w:name w:val="Header Char"/>
    <w:link w:val="Header"/>
    <w:uiPriority w:val="99"/>
    <w:rsid w:val="001C763C"/>
    <w:rPr>
      <w:sz w:val="24"/>
      <w:szCs w:val="24"/>
    </w:rPr>
  </w:style>
  <w:style w:type="paragraph" w:styleId="Footer">
    <w:name w:val="footer"/>
    <w:basedOn w:val="Normal"/>
    <w:link w:val="FooterChar"/>
    <w:uiPriority w:val="99"/>
    <w:unhideWhenUsed/>
    <w:rsid w:val="001C763C"/>
    <w:pPr>
      <w:tabs>
        <w:tab w:val="center" w:pos="4513"/>
        <w:tab w:val="right" w:pos="9026"/>
      </w:tabs>
    </w:pPr>
  </w:style>
  <w:style w:type="character" w:customStyle="1" w:styleId="FooterChar">
    <w:name w:val="Footer Char"/>
    <w:link w:val="Footer"/>
    <w:uiPriority w:val="99"/>
    <w:rsid w:val="001C763C"/>
    <w:rPr>
      <w:sz w:val="24"/>
      <w:szCs w:val="24"/>
    </w:rPr>
  </w:style>
  <w:style w:type="paragraph" w:styleId="BalloonText">
    <w:name w:val="Balloon Text"/>
    <w:basedOn w:val="Normal"/>
    <w:link w:val="BalloonTextChar"/>
    <w:uiPriority w:val="99"/>
    <w:semiHidden/>
    <w:unhideWhenUsed/>
    <w:rsid w:val="00217FD9"/>
    <w:rPr>
      <w:rFonts w:ascii="Segoe UI" w:hAnsi="Segoe UI" w:cs="Segoe UI"/>
      <w:sz w:val="18"/>
      <w:szCs w:val="18"/>
    </w:rPr>
  </w:style>
  <w:style w:type="character" w:customStyle="1" w:styleId="BalloonTextChar">
    <w:name w:val="Balloon Text Char"/>
    <w:link w:val="BalloonText"/>
    <w:uiPriority w:val="99"/>
    <w:semiHidden/>
    <w:rsid w:val="00217FD9"/>
    <w:rPr>
      <w:rFonts w:ascii="Segoe UI" w:hAnsi="Segoe UI" w:cs="Segoe UI"/>
      <w:sz w:val="18"/>
      <w:szCs w:val="18"/>
    </w:rPr>
  </w:style>
  <w:style w:type="paragraph" w:styleId="NormalWeb">
    <w:name w:val="Normal (Web)"/>
    <w:basedOn w:val="Normal"/>
    <w:uiPriority w:val="99"/>
    <w:semiHidden/>
    <w:unhideWhenUsed/>
    <w:rsid w:val="00881213"/>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1350</Words>
  <Characters>7696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Windows User</cp:lastModifiedBy>
  <cp:revision>43</cp:revision>
  <cp:lastPrinted>2019-03-06T01:55:00Z</cp:lastPrinted>
  <dcterms:created xsi:type="dcterms:W3CDTF">2019-03-09T09:31:00Z</dcterms:created>
  <dcterms:modified xsi:type="dcterms:W3CDTF">2019-03-12T06:17:00Z</dcterms:modified>
</cp:coreProperties>
</file>