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589" w:rsidRPr="00ED3A22" w:rsidRDefault="00DA1290" w:rsidP="00921637">
      <w:pPr>
        <w:spacing w:before="120" w:after="120"/>
        <w:rPr>
          <w:b/>
          <w:sz w:val="32"/>
          <w:szCs w:val="32"/>
        </w:rPr>
      </w:pPr>
      <w:r>
        <w:rPr>
          <w:noProof/>
          <w:sz w:val="26"/>
          <w:szCs w:val="26"/>
          <w:lang w:val="en-GB" w:eastAsia="en-GB"/>
        </w:rPr>
        <w:pict>
          <v:shapetype id="_x0000_t202" coordsize="21600,21600" o:spt="202" path="m,l,21600r21600,l21600,xe">
            <v:stroke joinstyle="miter"/>
            <v:path gradientshapeok="t" o:connecttype="rect"/>
          </v:shapetype>
          <v:shape id="Text Box 2" o:spid="_x0000_s1026" type="#_x0000_t202" style="position:absolute;margin-left:0;margin-top:0;width:113.4pt;height:23.05pt;z-index:251661312;visibility:visible;mso-wrap-distance-top:3.6pt;mso-wrap-distance-bottom:3.6pt;mso-position-horizontal:lef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">
            <v:textbox>
              <w:txbxContent>
                <w:p w:rsidR="00921637" w:rsidRPr="005507A7" w:rsidRDefault="00921637" w:rsidP="00921637">
                  <w:pPr>
                    <w:rPr>
                      <w:b/>
                      <w:sz w:val="30"/>
                      <w:szCs w:val="30"/>
                    </w:rPr>
                  </w:pPr>
                  <w:r w:rsidRPr="005507A7">
                    <w:rPr>
                      <w:b/>
                      <w:sz w:val="30"/>
                      <w:szCs w:val="30"/>
                    </w:rPr>
                    <w:t>DỰ THẢO</w:t>
                  </w:r>
                </w:p>
              </w:txbxContent>
            </v:textbox>
            <w10:wrap type="square" anchorx="margin"/>
          </v:shape>
        </w:pict>
      </w:r>
      <w:r w:rsidR="00921637">
        <w:rPr>
          <w:b/>
          <w:sz w:val="32"/>
          <w:szCs w:val="32"/>
        </w:rPr>
        <w:t xml:space="preserve">              </w:t>
      </w:r>
      <w:r w:rsidR="00C65589" w:rsidRPr="00ED3A22">
        <w:rPr>
          <w:b/>
          <w:sz w:val="32"/>
          <w:szCs w:val="32"/>
        </w:rPr>
        <w:t>BÁO CÁO</w:t>
      </w:r>
    </w:p>
    <w:p w:rsidR="00C65589" w:rsidRPr="0051706A" w:rsidRDefault="00C65589" w:rsidP="00615305">
      <w:pPr>
        <w:spacing w:before="120" w:after="120"/>
        <w:jc w:val="center"/>
        <w:rPr>
          <w:b/>
          <w:sz w:val="26"/>
          <w:szCs w:val="26"/>
        </w:rPr>
      </w:pPr>
      <w:r w:rsidRPr="007F0122">
        <w:rPr>
          <w:b/>
          <w:color w:val="FF0000"/>
          <w:sz w:val="26"/>
          <w:szCs w:val="26"/>
        </w:rPr>
        <w:t xml:space="preserve"> </w:t>
      </w:r>
      <w:r w:rsidRPr="007F0122">
        <w:rPr>
          <w:b/>
          <w:sz w:val="26"/>
          <w:szCs w:val="26"/>
        </w:rPr>
        <w:t xml:space="preserve">Công tác theo dõi tình hình thi hành pháp luật về hỗ trợ kinh phí cho đào tạo, bồi dưỡng theo Đề án đào tạo, bồi dưỡng nguồn nhân lực khoa học và công nghệ thành phố Hồ Chí Minh giai đoạn 2017 – 2020 </w:t>
      </w:r>
      <w:r w:rsidR="00615305" w:rsidRPr="0051706A">
        <w:rPr>
          <w:b/>
          <w:sz w:val="26"/>
          <w:szCs w:val="26"/>
        </w:rPr>
        <w:t>ban hành kèm theo Quyết định số 2012/QĐ-UBND ngày 26 tháng 4 năm 2017 của Ủy ban nhân dân Thành phố</w:t>
      </w:r>
    </w:p>
    <w:p w:rsidR="001713D3" w:rsidRDefault="00DA1290" w:rsidP="001713D3">
      <w:pPr>
        <w:spacing w:before="120"/>
        <w:rPr>
          <w:sz w:val="26"/>
          <w:szCs w:val="26"/>
        </w:rPr>
      </w:pPr>
      <w:r>
        <w:rPr>
          <w:b/>
          <w:noProof/>
          <w:sz w:val="26"/>
          <w:szCs w:val="26"/>
          <w:lang w:val="en-GB" w:eastAsia="en-GB"/>
        </w:rPr>
        <w:pict>
          <v:line id="Straight Connector 1" o:spid="_x0000_s1027" style="position:absolute;z-index:251659264;visibility:visible" from="167.7pt,.1pt" to="293.7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" strokecolor="black [3213]" strokeweight="1pt">
            <v:stroke joinstyle="miter"/>
          </v:line>
        </w:pict>
      </w:r>
      <w:r w:rsidR="00C65589" w:rsidRPr="007F0122">
        <w:rPr>
          <w:sz w:val="26"/>
          <w:szCs w:val="26"/>
        </w:rPr>
        <w:tab/>
      </w:r>
    </w:p>
    <w:p w:rsidR="00C65589" w:rsidRPr="007F0122" w:rsidRDefault="00C65589" w:rsidP="00A22C2D">
      <w:pPr>
        <w:spacing w:before="120"/>
        <w:ind w:firstLine="567"/>
        <w:rPr>
          <w:sz w:val="26"/>
          <w:szCs w:val="26"/>
        </w:rPr>
      </w:pPr>
      <w:r w:rsidRPr="007F0122">
        <w:rPr>
          <w:sz w:val="26"/>
          <w:szCs w:val="26"/>
        </w:rPr>
        <w:t>- Căn cứ Luật Ngân sách nhà nước năm 2015;</w:t>
      </w:r>
    </w:p>
    <w:p w:rsidR="00C65589" w:rsidRPr="007F0122" w:rsidRDefault="00C65589" w:rsidP="00A22C2D">
      <w:pPr>
        <w:spacing w:before="120"/>
        <w:ind w:firstLine="567"/>
        <w:jc w:val="both"/>
        <w:rPr>
          <w:sz w:val="26"/>
          <w:szCs w:val="26"/>
        </w:rPr>
      </w:pPr>
      <w:r w:rsidRPr="007F0122">
        <w:rPr>
          <w:sz w:val="26"/>
          <w:szCs w:val="26"/>
        </w:rPr>
        <w:t>- Căn cứ Nghị định số 163/2016/NĐ-CP ngày 21 tháng 12 năm 2016 của Chính phủ quy định chi tiết thi hành một số điều của Luật Ngân sách nhà nước;</w:t>
      </w:r>
    </w:p>
    <w:p w:rsidR="00C65589" w:rsidRDefault="00C65589" w:rsidP="00A22C2D">
      <w:pPr>
        <w:spacing w:before="120"/>
        <w:ind w:firstLine="567"/>
        <w:jc w:val="both"/>
        <w:rPr>
          <w:sz w:val="26"/>
          <w:szCs w:val="26"/>
        </w:rPr>
      </w:pPr>
      <w:r w:rsidRPr="007F0122">
        <w:rPr>
          <w:sz w:val="26"/>
          <w:szCs w:val="26"/>
        </w:rPr>
        <w:t>- Căn cứ Quyết định số 2395/QĐ-TTg ngày 25 tháng 12 năm 2015 của Thủ tướng Chính phủ về phê duyệt Đề án đào tạo, bồi dưỡng nhân lực khoa học và công nghệ ở trong nước và nước ngoài bằng ngân sách nhà nước;</w:t>
      </w:r>
    </w:p>
    <w:p w:rsidR="004B7CEE" w:rsidRPr="007F0122" w:rsidRDefault="004B7CEE" w:rsidP="00A22C2D">
      <w:pPr>
        <w:spacing w:before="120"/>
        <w:ind w:firstLine="567"/>
        <w:jc w:val="both"/>
        <w:rPr>
          <w:sz w:val="26"/>
          <w:szCs w:val="26"/>
        </w:rPr>
      </w:pPr>
      <w:r>
        <w:rPr>
          <w:iCs/>
          <w:sz w:val="26"/>
          <w:szCs w:val="26"/>
        </w:rPr>
        <w:t xml:space="preserve">- </w:t>
      </w:r>
      <w:r w:rsidRPr="008E55B7">
        <w:rPr>
          <w:iCs/>
          <w:sz w:val="26"/>
          <w:szCs w:val="26"/>
        </w:rPr>
        <w:t>Căn cứ Thông tư số 88/2017/TT-BTC ngày 22 tháng 8 năm 2017 của Bộ Tài chính hướng dẫn cơ chế tài chính thực hiện Đề án đào tạo, bồi dưỡng nhân lực khoa học và công nghệ ở trong nước và nước ngoài bằng ngân sách nhà nước;</w:t>
      </w:r>
    </w:p>
    <w:p w:rsidR="00C65589" w:rsidRPr="007F0122" w:rsidRDefault="00C65589" w:rsidP="00A22C2D">
      <w:pPr>
        <w:spacing w:before="120"/>
        <w:ind w:firstLine="567"/>
        <w:jc w:val="both"/>
        <w:rPr>
          <w:sz w:val="26"/>
          <w:szCs w:val="26"/>
        </w:rPr>
      </w:pPr>
      <w:r w:rsidRPr="007F0122">
        <w:rPr>
          <w:sz w:val="26"/>
          <w:szCs w:val="26"/>
        </w:rPr>
        <w:t>- Căn cứ Thông tư số 36/2018/TT-BTC ngày 30 tháng 3 năm 2018 của Bộ Tài chính hướng dẫn việc lập dự toán, quản lý, sử dụng và quyết toán kinh phí dành cho công tác đào tạo, bồi dưỡng cán bộ, công chức, viên chức;</w:t>
      </w:r>
    </w:p>
    <w:p w:rsidR="00C65589" w:rsidRPr="007F0122" w:rsidRDefault="00C65589" w:rsidP="00A22C2D">
      <w:pPr>
        <w:spacing w:before="120"/>
        <w:ind w:firstLine="567"/>
        <w:jc w:val="both"/>
        <w:rPr>
          <w:sz w:val="26"/>
          <w:szCs w:val="26"/>
        </w:rPr>
      </w:pPr>
      <w:r w:rsidRPr="007F0122">
        <w:rPr>
          <w:sz w:val="26"/>
          <w:szCs w:val="26"/>
        </w:rPr>
        <w:t>- Căn cứ Nghị quyết số 29/2018/NQ-HĐND ngày 07 tháng 12 năm 2018 của Hội đồng nhân dân Thành phố ban hành quy định về mức chi đào tạo, bồi dưỡng cán bộ, công chức, viên chức trên địa bàn Thành phố Hồ Chí Minh;</w:t>
      </w:r>
    </w:p>
    <w:p w:rsidR="00C65589" w:rsidRPr="007F0122" w:rsidRDefault="00C65589" w:rsidP="00A22C2D">
      <w:pPr>
        <w:spacing w:before="120"/>
        <w:ind w:firstLine="567"/>
        <w:jc w:val="both"/>
        <w:rPr>
          <w:sz w:val="26"/>
          <w:szCs w:val="26"/>
        </w:rPr>
      </w:pPr>
      <w:r w:rsidRPr="007F0122">
        <w:rPr>
          <w:sz w:val="26"/>
          <w:szCs w:val="26"/>
        </w:rPr>
        <w:t>- Căn cứ Quyết định số 2012/QĐ-UBND ngày 26 tháng 4 năm 2017 của Ủy ban nhân dân Thành phố về phê duyệt Đề án đào tạo, bồi dưỡng nhân lực khoa học và công nghệ thành phố Hồ Chí Minh giai đoạn 2017 – 2020;</w:t>
      </w:r>
    </w:p>
    <w:p w:rsidR="00C65589" w:rsidRPr="007F0122" w:rsidRDefault="00C65589" w:rsidP="00A22C2D">
      <w:pPr>
        <w:spacing w:before="120"/>
        <w:ind w:firstLine="567"/>
        <w:jc w:val="both"/>
        <w:rPr>
          <w:sz w:val="26"/>
          <w:szCs w:val="26"/>
        </w:rPr>
      </w:pPr>
      <w:r w:rsidRPr="007F0122">
        <w:rPr>
          <w:sz w:val="26"/>
          <w:szCs w:val="26"/>
        </w:rPr>
        <w:t>Sở Khoa học và Công nghệ (Sở) báo cáo về việc hỗ trợ kinh phí đào tạo, bồi dưỡng theo Đề án 2012 như sau:</w:t>
      </w:r>
    </w:p>
    <w:p w:rsidR="00C65589" w:rsidRPr="007F0122" w:rsidRDefault="00C65589" w:rsidP="00A22C2D">
      <w:pPr>
        <w:spacing w:before="120"/>
        <w:ind w:firstLine="567"/>
        <w:jc w:val="both"/>
        <w:outlineLvl w:val="0"/>
        <w:rPr>
          <w:b/>
          <w:color w:val="000000"/>
          <w:sz w:val="26"/>
          <w:szCs w:val="26"/>
        </w:rPr>
      </w:pPr>
      <w:r w:rsidRPr="007F0122">
        <w:rPr>
          <w:b/>
          <w:color w:val="000000"/>
          <w:sz w:val="26"/>
          <w:szCs w:val="26"/>
          <w:lang w:val="vi-VN"/>
        </w:rPr>
        <w:t xml:space="preserve">I. </w:t>
      </w:r>
      <w:r w:rsidRPr="007F0122">
        <w:rPr>
          <w:b/>
          <w:color w:val="000000"/>
          <w:sz w:val="26"/>
          <w:szCs w:val="26"/>
        </w:rPr>
        <w:t xml:space="preserve">CÔNG TÁC CHỈ ĐẠO, TRIỂN KHAI, THỰC HIỆN THEO DÕI TÌNH HÌNH THI HÀNH PHÁP LUẬT </w:t>
      </w:r>
    </w:p>
    <w:p w:rsidR="00C65589" w:rsidRPr="007F0122" w:rsidRDefault="00C65589" w:rsidP="00A22C2D">
      <w:pPr>
        <w:spacing w:before="120"/>
        <w:ind w:firstLine="567"/>
        <w:jc w:val="both"/>
        <w:outlineLvl w:val="0"/>
        <w:rPr>
          <w:b/>
          <w:color w:val="000000"/>
          <w:sz w:val="26"/>
          <w:szCs w:val="26"/>
        </w:rPr>
      </w:pPr>
      <w:r w:rsidRPr="007F0122">
        <w:rPr>
          <w:b/>
          <w:color w:val="000000"/>
          <w:sz w:val="26"/>
          <w:szCs w:val="26"/>
        </w:rPr>
        <w:t>1. Ban hành văn bản chỉ đạo, triển khai thực hiện theo dõi tình hình thi hành pháp luật</w:t>
      </w:r>
    </w:p>
    <w:p w:rsidR="00C65589" w:rsidRPr="007F0122" w:rsidRDefault="00C65589" w:rsidP="00A22C2D">
      <w:pPr>
        <w:spacing w:before="120"/>
        <w:ind w:firstLine="567"/>
        <w:jc w:val="both"/>
        <w:outlineLvl w:val="0"/>
        <w:rPr>
          <w:sz w:val="26"/>
          <w:szCs w:val="26"/>
        </w:rPr>
      </w:pPr>
      <w:r w:rsidRPr="007F0122">
        <w:rPr>
          <w:sz w:val="26"/>
          <w:szCs w:val="26"/>
        </w:rPr>
        <w:t xml:space="preserve">Căn cứ Quyết định số 2395/QĐ-TTg ngày 25 tháng 12 năm 2015 Thủ tướng Chính phủ về phê duyệt Đề án đào tạo, bồi dưỡng nhân lực khoa học và công nghệ ở trong nước và nước ngoài bằng ngân sách nhà nước, Ủy ban nhân dân Thành phố đã ban hành Quyết định số 2012/QĐ-UBND ngày 26 tháng 4 năm 2017 về phê duyệt Đề án đào tạo, bồi dưỡng nguồn nhân lực khoa học và công nghệ thành phố Hồ Chí Minh giai đoạn 2017 – 2020 (viết tắt là Đề án 2012). </w:t>
      </w:r>
    </w:p>
    <w:p w:rsidR="00C65589" w:rsidRPr="007F0122" w:rsidRDefault="00C65589" w:rsidP="00A22C2D">
      <w:pPr>
        <w:spacing w:before="120"/>
        <w:ind w:firstLine="567"/>
        <w:jc w:val="both"/>
        <w:outlineLvl w:val="0"/>
        <w:rPr>
          <w:sz w:val="26"/>
          <w:szCs w:val="26"/>
        </w:rPr>
      </w:pPr>
      <w:r w:rsidRPr="007F0122">
        <w:rPr>
          <w:sz w:val="26"/>
          <w:szCs w:val="26"/>
        </w:rPr>
        <w:t>Theo đó, Sở Khoa học và Công nghệ đã gửi thông báo đến các đối tượng thuộc Đề án 2012 để thông tin đăng ký tham gia Đề án 2012 với các nội dung cụ thể:</w:t>
      </w:r>
    </w:p>
    <w:p w:rsidR="00C65589" w:rsidRPr="007F0122" w:rsidRDefault="00C65589" w:rsidP="00A22C2D">
      <w:pPr>
        <w:widowControl w:val="0"/>
        <w:spacing w:before="120"/>
        <w:ind w:right="60" w:firstLine="567"/>
        <w:jc w:val="both"/>
        <w:rPr>
          <w:sz w:val="26"/>
          <w:szCs w:val="26"/>
        </w:rPr>
      </w:pPr>
      <w:r w:rsidRPr="007F0122">
        <w:rPr>
          <w:sz w:val="26"/>
          <w:szCs w:val="26"/>
        </w:rPr>
        <w:t>- Đối tượng:</w:t>
      </w:r>
    </w:p>
    <w:p w:rsidR="00C65589" w:rsidRPr="007F0122" w:rsidRDefault="00C65589" w:rsidP="00A22C2D">
      <w:pPr>
        <w:widowControl w:val="0"/>
        <w:spacing w:before="120"/>
        <w:ind w:firstLine="567"/>
        <w:jc w:val="both"/>
        <w:rPr>
          <w:sz w:val="26"/>
          <w:szCs w:val="26"/>
        </w:rPr>
      </w:pPr>
      <w:r w:rsidRPr="007F0122">
        <w:rPr>
          <w:sz w:val="26"/>
          <w:szCs w:val="26"/>
        </w:rPr>
        <w:t>+ Đối tượng đào tạo, bồi dưỡng chuyên gia, cán bộ khoa học và công nghệ</w:t>
      </w:r>
    </w:p>
    <w:p w:rsidR="00C65589" w:rsidRPr="007F0122" w:rsidRDefault="00C65589" w:rsidP="00A22C2D">
      <w:pPr>
        <w:widowControl w:val="0"/>
        <w:spacing w:before="120"/>
        <w:ind w:firstLine="567"/>
        <w:jc w:val="both"/>
        <w:rPr>
          <w:sz w:val="26"/>
          <w:szCs w:val="26"/>
        </w:rPr>
      </w:pPr>
      <w:r w:rsidRPr="007F0122">
        <w:rPr>
          <w:sz w:val="26"/>
          <w:szCs w:val="26"/>
        </w:rPr>
        <w:t xml:space="preserve">Là cá nhân hoạt động khoa học </w:t>
      </w:r>
      <w:r w:rsidR="00820970">
        <w:rPr>
          <w:sz w:val="26"/>
          <w:szCs w:val="26"/>
          <w:lang w:val="vi-VN"/>
        </w:rPr>
        <w:t>và</w:t>
      </w:r>
      <w:r w:rsidRPr="007F0122">
        <w:rPr>
          <w:sz w:val="26"/>
          <w:szCs w:val="26"/>
        </w:rPr>
        <w:t xml:space="preserve"> công nghệ trong các tổ chức khoa học </w:t>
      </w:r>
      <w:r w:rsidR="00820970">
        <w:rPr>
          <w:sz w:val="26"/>
          <w:szCs w:val="26"/>
          <w:lang w:val="vi-VN"/>
        </w:rPr>
        <w:t>và</w:t>
      </w:r>
      <w:r w:rsidRPr="007F0122">
        <w:rPr>
          <w:sz w:val="26"/>
          <w:szCs w:val="26"/>
        </w:rPr>
        <w:t xml:space="preserve"> công </w:t>
      </w:r>
      <w:r w:rsidRPr="007F0122">
        <w:rPr>
          <w:sz w:val="26"/>
          <w:szCs w:val="26"/>
        </w:rPr>
        <w:lastRenderedPageBreak/>
        <w:t xml:space="preserve">nghệ, trường, viện, các phòng thí nghiệm và doanh nghiệp tại Thành phố Hồ Chí Minh; đã hoặc đang tham gia thực hiện các nhiệm vụ khoa học </w:t>
      </w:r>
      <w:r w:rsidR="00820970">
        <w:rPr>
          <w:sz w:val="26"/>
          <w:szCs w:val="26"/>
          <w:lang w:val="vi-VN"/>
        </w:rPr>
        <w:t>và</w:t>
      </w:r>
      <w:r w:rsidRPr="007F0122">
        <w:rPr>
          <w:sz w:val="26"/>
          <w:szCs w:val="26"/>
        </w:rPr>
        <w:t xml:space="preserve"> công nghệ trong 4 ngành công nghiệp chủ lực, ngành công nghiệp hỗ trợ và một số lĩnh vực nghiên cứu quan trọng khác.</w:t>
      </w:r>
    </w:p>
    <w:p w:rsidR="00C65589" w:rsidRPr="007F0122" w:rsidRDefault="00C65589" w:rsidP="00A22C2D">
      <w:pPr>
        <w:widowControl w:val="0"/>
        <w:spacing w:before="120"/>
        <w:ind w:firstLine="567"/>
        <w:jc w:val="both"/>
        <w:rPr>
          <w:sz w:val="26"/>
          <w:szCs w:val="26"/>
        </w:rPr>
      </w:pPr>
      <w:r w:rsidRPr="007F0122">
        <w:rPr>
          <w:sz w:val="26"/>
          <w:szCs w:val="26"/>
        </w:rPr>
        <w:t>+  Đối tượng bồi dưỡng cán bộ quản lý khoa học và công nghệ</w:t>
      </w:r>
    </w:p>
    <w:p w:rsidR="00C65589" w:rsidRPr="007F0122" w:rsidRDefault="00C65589" w:rsidP="00A22C2D">
      <w:pPr>
        <w:widowControl w:val="0"/>
        <w:spacing w:before="120"/>
        <w:ind w:firstLine="567"/>
        <w:jc w:val="both"/>
        <w:rPr>
          <w:sz w:val="26"/>
          <w:szCs w:val="26"/>
        </w:rPr>
      </w:pPr>
      <w:r w:rsidRPr="007F0122">
        <w:rPr>
          <w:sz w:val="26"/>
          <w:szCs w:val="26"/>
        </w:rPr>
        <w:t xml:space="preserve">- Cán bộ của các phòng, ban và tương đương trở lên thuộc các quận - huyện, sở - ban - ngành Thành phố có liên quan đến hoạt động khoa học </w:t>
      </w:r>
      <w:r w:rsidR="00820970">
        <w:rPr>
          <w:sz w:val="26"/>
          <w:szCs w:val="26"/>
          <w:lang w:val="vi-VN"/>
        </w:rPr>
        <w:t>và</w:t>
      </w:r>
      <w:r w:rsidRPr="007F0122">
        <w:rPr>
          <w:sz w:val="26"/>
          <w:szCs w:val="26"/>
        </w:rPr>
        <w:t xml:space="preserve"> công nghệ.</w:t>
      </w:r>
    </w:p>
    <w:p w:rsidR="00C65589" w:rsidRPr="007F0122" w:rsidRDefault="00C65589" w:rsidP="00A22C2D">
      <w:pPr>
        <w:spacing w:before="120"/>
        <w:ind w:firstLine="567"/>
        <w:jc w:val="both"/>
        <w:outlineLvl w:val="0"/>
        <w:rPr>
          <w:sz w:val="26"/>
          <w:szCs w:val="26"/>
        </w:rPr>
      </w:pPr>
      <w:r w:rsidRPr="007F0122">
        <w:rPr>
          <w:sz w:val="26"/>
          <w:szCs w:val="26"/>
        </w:rPr>
        <w:t xml:space="preserve">- Cán bộ quản lý trung, cao cấp về khoa học </w:t>
      </w:r>
      <w:r w:rsidR="00820970">
        <w:rPr>
          <w:sz w:val="26"/>
          <w:szCs w:val="26"/>
          <w:lang w:val="vi-VN"/>
        </w:rPr>
        <w:t>và</w:t>
      </w:r>
      <w:r w:rsidRPr="007F0122">
        <w:rPr>
          <w:sz w:val="26"/>
          <w:szCs w:val="26"/>
        </w:rPr>
        <w:t xml:space="preserve"> công nghệ của tổ chức khoa học </w:t>
      </w:r>
      <w:r w:rsidR="00820970">
        <w:rPr>
          <w:sz w:val="26"/>
          <w:szCs w:val="26"/>
          <w:lang w:val="vi-VN"/>
        </w:rPr>
        <w:t>và</w:t>
      </w:r>
      <w:r w:rsidRPr="007F0122">
        <w:rPr>
          <w:sz w:val="26"/>
          <w:szCs w:val="26"/>
        </w:rPr>
        <w:t xml:space="preserve"> công nghệ, trường, viện, các phòng thí nghiệm và doanh nghiệp.</w:t>
      </w:r>
    </w:p>
    <w:p w:rsidR="00C65589" w:rsidRPr="007F0122" w:rsidRDefault="00C65589" w:rsidP="00A22C2D">
      <w:pPr>
        <w:widowControl w:val="0"/>
        <w:spacing w:before="120"/>
        <w:ind w:firstLine="567"/>
        <w:jc w:val="both"/>
        <w:rPr>
          <w:sz w:val="26"/>
          <w:szCs w:val="26"/>
        </w:rPr>
      </w:pPr>
      <w:r w:rsidRPr="007F0122">
        <w:rPr>
          <w:sz w:val="26"/>
          <w:szCs w:val="26"/>
        </w:rPr>
        <w:t xml:space="preserve">- Hình thức và thời gian đào tạo, bồi dưỡng </w:t>
      </w:r>
    </w:p>
    <w:p w:rsidR="00C65589" w:rsidRPr="007F0122" w:rsidRDefault="00C65589" w:rsidP="00A22C2D">
      <w:pPr>
        <w:widowControl w:val="0"/>
        <w:spacing w:before="120"/>
        <w:ind w:firstLine="567"/>
        <w:jc w:val="both"/>
        <w:rPr>
          <w:sz w:val="26"/>
          <w:szCs w:val="26"/>
        </w:rPr>
      </w:pPr>
      <w:r w:rsidRPr="007F0122">
        <w:rPr>
          <w:sz w:val="26"/>
          <w:szCs w:val="26"/>
        </w:rPr>
        <w:t>+ Đào tạo, bồi dưỡng chuyên gia, cán bộ khoa học và công nghệ</w:t>
      </w:r>
    </w:p>
    <w:p w:rsidR="00C65589" w:rsidRPr="007F0122" w:rsidRDefault="00C65589" w:rsidP="00A22C2D">
      <w:pPr>
        <w:widowControl w:val="0"/>
        <w:spacing w:before="120"/>
        <w:ind w:right="60" w:firstLine="567"/>
        <w:jc w:val="both"/>
        <w:rPr>
          <w:sz w:val="26"/>
          <w:szCs w:val="26"/>
        </w:rPr>
      </w:pPr>
      <w:r w:rsidRPr="007F0122">
        <w:rPr>
          <w:sz w:val="26"/>
          <w:szCs w:val="26"/>
        </w:rPr>
        <w:t xml:space="preserve">Thực hiện theo hai hình thức: (1) đào tạo lý thuyết và (2) đào tạo lý thuyết kết hợp nghiên cứu, thực tập ở nước ngoài. Thời gian đào tạo không quá 12 tháng. </w:t>
      </w:r>
    </w:p>
    <w:p w:rsidR="00C65589" w:rsidRPr="007F0122" w:rsidRDefault="00C65589" w:rsidP="00A22C2D">
      <w:pPr>
        <w:widowControl w:val="0"/>
        <w:spacing w:before="120"/>
        <w:ind w:firstLine="567"/>
        <w:jc w:val="both"/>
        <w:rPr>
          <w:sz w:val="26"/>
          <w:szCs w:val="26"/>
        </w:rPr>
      </w:pPr>
      <w:r w:rsidRPr="007F0122">
        <w:rPr>
          <w:sz w:val="26"/>
          <w:szCs w:val="26"/>
        </w:rPr>
        <w:t>+ Đào tạo, bồi</w:t>
      </w:r>
      <w:r w:rsidR="00B32E76">
        <w:rPr>
          <w:sz w:val="26"/>
          <w:szCs w:val="26"/>
        </w:rPr>
        <w:t xml:space="preserve"> dưỡng cán bộ quản lý khoa học và</w:t>
      </w:r>
      <w:r w:rsidRPr="007F0122">
        <w:rPr>
          <w:sz w:val="26"/>
          <w:szCs w:val="26"/>
        </w:rPr>
        <w:t xml:space="preserve"> công nghệ</w:t>
      </w:r>
    </w:p>
    <w:p w:rsidR="00C65589" w:rsidRPr="007F0122" w:rsidRDefault="00C65589" w:rsidP="00A22C2D">
      <w:pPr>
        <w:widowControl w:val="0"/>
        <w:spacing w:before="120"/>
        <w:ind w:right="60" w:firstLine="567"/>
        <w:jc w:val="both"/>
        <w:rPr>
          <w:sz w:val="26"/>
          <w:szCs w:val="26"/>
        </w:rPr>
      </w:pPr>
      <w:r w:rsidRPr="007F0122">
        <w:rPr>
          <w:sz w:val="26"/>
          <w:szCs w:val="26"/>
        </w:rPr>
        <w:t>Đào tạo, bồi dưỡng theo các khóa chuyên đề (có thể kết hợp lý thuyết và nghiên cứu thực tế) ngắn hạn ở nước ngoài. Thời gian đào tạo không quá 03 tháng.</w:t>
      </w:r>
    </w:p>
    <w:p w:rsidR="00C65589" w:rsidRPr="007F0122" w:rsidRDefault="00C65589" w:rsidP="00A22C2D">
      <w:pPr>
        <w:spacing w:before="120"/>
        <w:ind w:firstLine="567"/>
        <w:jc w:val="both"/>
        <w:outlineLvl w:val="0"/>
        <w:rPr>
          <w:sz w:val="26"/>
          <w:szCs w:val="26"/>
        </w:rPr>
      </w:pPr>
      <w:r w:rsidRPr="007F0122">
        <w:rPr>
          <w:sz w:val="26"/>
          <w:szCs w:val="26"/>
        </w:rPr>
        <w:t xml:space="preserve">- Kinh phí thực hiện Đề án 2012 từ nguồn kinh phí sự nghiệp khoa học và công nghệ Thành phố. </w:t>
      </w:r>
    </w:p>
    <w:p w:rsidR="00C65589" w:rsidRPr="007F0122" w:rsidRDefault="00C65589" w:rsidP="00A22C2D">
      <w:pPr>
        <w:widowControl w:val="0"/>
        <w:spacing w:before="120"/>
        <w:ind w:firstLine="567"/>
        <w:jc w:val="both"/>
        <w:rPr>
          <w:sz w:val="26"/>
          <w:szCs w:val="26"/>
        </w:rPr>
      </w:pPr>
      <w:r w:rsidRPr="007F0122">
        <w:rPr>
          <w:sz w:val="26"/>
          <w:szCs w:val="26"/>
        </w:rPr>
        <w:t>Kết quả đã tiếp nhận 10 hồ sơ đăng ký tham gia Đề án 2012 và tổ chức xét duyệt, tuyển chọn được 6 hồ sơ đủ điều kiện tham gia đào tạo, bồi dưỡng theo Đề án 2012.</w:t>
      </w:r>
    </w:p>
    <w:p w:rsidR="00C65589" w:rsidRPr="007F0122" w:rsidRDefault="0093046D" w:rsidP="00A22C2D">
      <w:pPr>
        <w:spacing w:before="120"/>
        <w:ind w:firstLine="567"/>
        <w:jc w:val="both"/>
        <w:outlineLvl w:val="0"/>
        <w:rPr>
          <w:sz w:val="26"/>
          <w:szCs w:val="26"/>
        </w:rPr>
      </w:pPr>
      <w:r w:rsidRPr="0093046D">
        <w:rPr>
          <w:sz w:val="26"/>
          <w:szCs w:val="26"/>
        </w:rPr>
        <w:t xml:space="preserve">Đến ngày 30 tháng 3 năm 2018, Bộ Tài chính ban hành Thông tư số 36/2018/TT-BTC hướng dẫn việc lập dự toán, quản lý, sử dụng và quyết toán kinh phí dành cho công tác đào tạo, bồi dưỡng cán bộ, công chức, viên chức và ngày 07 tháng 12 năm 2018, Hội đồng nhân dân Thành phố ban hành Nghị quyết số 29/2018/NQ-HĐND quy định về mức chi đào tạo, bồi dưỡng cán bộ, công chức, viên chức trên địa bàn thành phố Hồ Chí Minh. Trong đó, tại Khoản 2 Điều 2 Thông tư số 36/2018/TT-BTC và  Điều 4 Chương II Quy định của Nghị quyết số 29/2018/NQ-HĐND quy định </w:t>
      </w:r>
      <w:r w:rsidRPr="0093046D">
        <w:rPr>
          <w:i/>
          <w:sz w:val="26"/>
          <w:szCs w:val="26"/>
        </w:rPr>
        <w:t>“Kinh phí đào tạo, bồi dưỡng viên chức được đảm bảo từ nguồn tài chính của đơn vị sự nghiệp công lập…”.</w:t>
      </w:r>
    </w:p>
    <w:p w:rsidR="00C65589" w:rsidRPr="007F0122" w:rsidRDefault="00C65589" w:rsidP="00A22C2D">
      <w:pPr>
        <w:spacing w:before="120"/>
        <w:ind w:firstLine="567"/>
        <w:jc w:val="both"/>
        <w:outlineLvl w:val="0"/>
        <w:rPr>
          <w:sz w:val="26"/>
          <w:szCs w:val="26"/>
        </w:rPr>
      </w:pPr>
      <w:r w:rsidRPr="007F0122">
        <w:rPr>
          <w:sz w:val="26"/>
          <w:szCs w:val="26"/>
        </w:rPr>
        <w:t xml:space="preserve">Vì vậy, ngoài đối tượng là cán bộ, công chức thì Đề án 2012 không thể tiếp tục triển khai để hỗ trợ cho các đối tượng là chuyên gia, cán bộ khoa học và công nghệ, cán bộ quản lý khoa học và công nghệ làm việc tại các </w:t>
      </w:r>
      <w:r w:rsidR="00FD4E30" w:rsidRPr="004E5017">
        <w:rPr>
          <w:sz w:val="26"/>
          <w:szCs w:val="26"/>
          <w:lang w:val="en-GB"/>
        </w:rPr>
        <w:t>trường, viện, phòng thí nghiệm,</w:t>
      </w:r>
      <w:r w:rsidR="00FD4E30">
        <w:rPr>
          <w:sz w:val="26"/>
          <w:szCs w:val="26"/>
          <w:lang w:val="en-GB"/>
        </w:rPr>
        <w:t xml:space="preserve"> </w:t>
      </w:r>
      <w:r w:rsidRPr="007F0122">
        <w:rPr>
          <w:sz w:val="26"/>
          <w:szCs w:val="26"/>
        </w:rPr>
        <w:t>tổ chức khoa học và công nghệ công lập, ngoài công lập và doanh nghiệp từ nguồn kinh phí sự nghiệp khoa học và công nghệ của Thành phố. Trong khi đó, đây lại là đối tượng chính mà Đề án 2012 cần hỗ trợ để hình thành đội ngũ khoa học và công nghệ đáp ứng nhu cầu phát triển của Thành phố.</w:t>
      </w:r>
    </w:p>
    <w:p w:rsidR="00C65589" w:rsidRDefault="00C65589" w:rsidP="00A22C2D">
      <w:pPr>
        <w:spacing w:before="120"/>
        <w:ind w:firstLine="567"/>
        <w:jc w:val="both"/>
        <w:rPr>
          <w:sz w:val="26"/>
          <w:szCs w:val="26"/>
        </w:rPr>
      </w:pPr>
      <w:r w:rsidRPr="007F0122">
        <w:rPr>
          <w:sz w:val="26"/>
          <w:szCs w:val="26"/>
        </w:rPr>
        <w:t>Ngoài ra, việc triển khai, quán triệt các nội dung theo dõi thi hành pháp luật (hỗ trợ đào tạo, bồi dưỡng theo Đề án 2012) được Sở thực hiện đúng theo yêu cầu.</w:t>
      </w:r>
    </w:p>
    <w:p w:rsidR="00C65589" w:rsidRPr="007F0122" w:rsidRDefault="00C65589" w:rsidP="00A22C2D">
      <w:pPr>
        <w:spacing w:before="120"/>
        <w:ind w:firstLine="567"/>
        <w:jc w:val="both"/>
        <w:outlineLvl w:val="0"/>
        <w:rPr>
          <w:b/>
          <w:sz w:val="26"/>
          <w:szCs w:val="26"/>
        </w:rPr>
      </w:pPr>
      <w:r w:rsidRPr="007F0122">
        <w:rPr>
          <w:b/>
          <w:sz w:val="26"/>
          <w:szCs w:val="26"/>
        </w:rPr>
        <w:t>2. Tập huấn, hướng dẫn về nghiệp vụ thực hiện công tác theo dõi tình hình thi hành pháp luật</w:t>
      </w:r>
    </w:p>
    <w:p w:rsidR="00C65589" w:rsidRPr="007F0122" w:rsidRDefault="00C65589" w:rsidP="00A22C2D">
      <w:pPr>
        <w:spacing w:before="120"/>
        <w:ind w:firstLine="567"/>
        <w:jc w:val="both"/>
        <w:rPr>
          <w:sz w:val="26"/>
          <w:szCs w:val="26"/>
        </w:rPr>
      </w:pPr>
      <w:r w:rsidRPr="007F0122">
        <w:rPr>
          <w:sz w:val="26"/>
          <w:szCs w:val="26"/>
        </w:rPr>
        <w:t xml:space="preserve">Để nâng cao chất lượng và hiệu quả công tác tổ chức hỗ trợ đào tạo, bồi dưỡng theo Đề án 2012, Sở đã gửi thông báo để thông tin đến các đối tượng thuộc Đề án </w:t>
      </w:r>
      <w:r w:rsidRPr="007F0122">
        <w:rPr>
          <w:sz w:val="26"/>
          <w:szCs w:val="26"/>
        </w:rPr>
        <w:lastRenderedPageBreak/>
        <w:t>2012 để tham gia và tổ chức các Hội đồng xét duyệt tuyển chọn hồ sơ theo đúng đối tượng, tiêu chuẩn hình thức và yêu cầu của Đề án 2012.</w:t>
      </w:r>
    </w:p>
    <w:p w:rsidR="00C65589" w:rsidRDefault="00C65589" w:rsidP="00A22C2D">
      <w:pPr>
        <w:spacing w:before="120"/>
        <w:ind w:firstLine="567"/>
        <w:jc w:val="both"/>
        <w:rPr>
          <w:sz w:val="26"/>
          <w:szCs w:val="26"/>
        </w:rPr>
      </w:pPr>
      <w:r w:rsidRPr="007F0122">
        <w:rPr>
          <w:sz w:val="26"/>
          <w:szCs w:val="26"/>
        </w:rPr>
        <w:t xml:space="preserve">Ngoài ra, Sở Khoa học và Công nghệ cũng tổ chức buổi Hội thảo và </w:t>
      </w:r>
      <w:r w:rsidR="0093046D">
        <w:rPr>
          <w:sz w:val="26"/>
          <w:szCs w:val="26"/>
        </w:rPr>
        <w:t>các buổi làm việc</w:t>
      </w:r>
      <w:r w:rsidRPr="007F0122">
        <w:rPr>
          <w:sz w:val="26"/>
          <w:szCs w:val="26"/>
        </w:rPr>
        <w:t xml:space="preserve"> với các </w:t>
      </w:r>
      <w:r w:rsidR="00FD4E30" w:rsidRPr="004E5017">
        <w:rPr>
          <w:sz w:val="26"/>
          <w:szCs w:val="26"/>
          <w:lang w:val="en-GB"/>
        </w:rPr>
        <w:t>trường, viện, phòng thí nghiệm,</w:t>
      </w:r>
      <w:r w:rsidR="00FD4E30">
        <w:rPr>
          <w:sz w:val="26"/>
          <w:szCs w:val="26"/>
          <w:lang w:val="en-GB"/>
        </w:rPr>
        <w:t xml:space="preserve"> </w:t>
      </w:r>
      <w:r w:rsidRPr="007F0122">
        <w:rPr>
          <w:sz w:val="26"/>
          <w:szCs w:val="26"/>
        </w:rPr>
        <w:t>tổ chức khoa học và công nghệ</w:t>
      </w:r>
      <w:r w:rsidR="0016255D">
        <w:rPr>
          <w:sz w:val="26"/>
          <w:szCs w:val="26"/>
        </w:rPr>
        <w:t xml:space="preserve"> </w:t>
      </w:r>
      <w:r w:rsidRPr="007F0122">
        <w:rPr>
          <w:sz w:val="26"/>
          <w:szCs w:val="26"/>
        </w:rPr>
        <w:t>thông tin chi tiết về Đề án 2012 để các đơn vị có nhu cầu đăng ký tham gia.</w:t>
      </w:r>
    </w:p>
    <w:p w:rsidR="00C65589" w:rsidRPr="003675AC" w:rsidRDefault="00C65589" w:rsidP="00A22C2D">
      <w:pPr>
        <w:spacing w:before="120"/>
        <w:ind w:firstLine="567"/>
        <w:jc w:val="both"/>
        <w:rPr>
          <w:sz w:val="26"/>
          <w:szCs w:val="26"/>
          <w:highlight w:val="yellow"/>
        </w:rPr>
      </w:pPr>
      <w:r w:rsidRPr="009016AE">
        <w:rPr>
          <w:b/>
          <w:sz w:val="26"/>
          <w:szCs w:val="26"/>
        </w:rPr>
        <w:t xml:space="preserve">3. Tiếp nhận thông tin về hồ sơ </w:t>
      </w:r>
      <w:r w:rsidR="009016AE" w:rsidRPr="009016AE">
        <w:rPr>
          <w:b/>
          <w:sz w:val="26"/>
          <w:szCs w:val="26"/>
        </w:rPr>
        <w:t>đăng ký tham gia Đề án 2012</w:t>
      </w:r>
    </w:p>
    <w:p w:rsidR="00C65589" w:rsidRPr="003F07DB" w:rsidRDefault="00C65589" w:rsidP="00A22C2D">
      <w:pPr>
        <w:spacing w:before="120"/>
        <w:ind w:firstLine="567"/>
        <w:jc w:val="both"/>
        <w:rPr>
          <w:sz w:val="26"/>
          <w:szCs w:val="26"/>
        </w:rPr>
      </w:pPr>
      <w:r w:rsidRPr="003F07DB">
        <w:rPr>
          <w:sz w:val="26"/>
          <w:szCs w:val="26"/>
        </w:rPr>
        <w:t>Sở cũng đã giao nhiệm vụ cho Phòng Quản lý Khoa học của Sở làm đầu mối tiếp nhận hồ sơ và hướng dẫn hoàn thiện hồ sơ theo đúng quy định và tổ chức thành lập Hội đồng xét duyệt, tuyển chọn các hồ sơ đăng ký tham gia theo quy định của Đề án 2012.</w:t>
      </w:r>
    </w:p>
    <w:p w:rsidR="00C65589" w:rsidRPr="003F07DB" w:rsidRDefault="00C65589" w:rsidP="00A22C2D">
      <w:pPr>
        <w:spacing w:before="120"/>
        <w:ind w:firstLine="567"/>
        <w:jc w:val="both"/>
        <w:rPr>
          <w:b/>
          <w:sz w:val="26"/>
          <w:szCs w:val="26"/>
          <w:lang w:val="vi-VN"/>
        </w:rPr>
      </w:pPr>
      <w:r w:rsidRPr="003F07DB">
        <w:rPr>
          <w:b/>
          <w:sz w:val="26"/>
          <w:szCs w:val="26"/>
          <w:lang w:val="en-GB"/>
        </w:rPr>
        <w:t>4.</w:t>
      </w:r>
      <w:r w:rsidRPr="003F07DB">
        <w:rPr>
          <w:b/>
          <w:sz w:val="26"/>
          <w:szCs w:val="26"/>
          <w:lang w:val="vi-VN"/>
        </w:rPr>
        <w:t xml:space="preserve"> </w:t>
      </w:r>
      <w:r w:rsidRPr="003F07DB">
        <w:rPr>
          <w:b/>
          <w:sz w:val="26"/>
          <w:szCs w:val="26"/>
          <w:lang w:val="en-GB"/>
        </w:rPr>
        <w:t xml:space="preserve">Kiểm tra tình hình tổ chức và mức chi </w:t>
      </w:r>
    </w:p>
    <w:p w:rsidR="00C65589" w:rsidRPr="007F0122" w:rsidRDefault="00C65589" w:rsidP="00A22C2D">
      <w:pPr>
        <w:spacing w:before="120"/>
        <w:ind w:firstLine="567"/>
        <w:jc w:val="both"/>
        <w:rPr>
          <w:sz w:val="26"/>
          <w:szCs w:val="26"/>
        </w:rPr>
      </w:pPr>
      <w:r w:rsidRPr="003F07DB">
        <w:rPr>
          <w:sz w:val="26"/>
          <w:szCs w:val="26"/>
        </w:rPr>
        <w:t>Sở đã lồng ghép nội dung kiểm tra tình hình tổ chức và hỗ trợ kinh phí đào tạo,</w:t>
      </w:r>
      <w:r w:rsidRPr="007F0122">
        <w:rPr>
          <w:sz w:val="26"/>
          <w:szCs w:val="26"/>
        </w:rPr>
        <w:t xml:space="preserve"> bồi dưỡng thông qua công tác xây dựng, thực hiện kế hoạch và quyết toán kinh phí.</w:t>
      </w:r>
    </w:p>
    <w:p w:rsidR="00C65589" w:rsidRPr="007F0122" w:rsidRDefault="00C65589" w:rsidP="00A22C2D">
      <w:pPr>
        <w:spacing w:before="120"/>
        <w:ind w:firstLine="567"/>
        <w:jc w:val="both"/>
        <w:outlineLvl w:val="0"/>
        <w:rPr>
          <w:b/>
          <w:sz w:val="26"/>
          <w:szCs w:val="26"/>
        </w:rPr>
      </w:pPr>
      <w:r w:rsidRPr="007F0122">
        <w:rPr>
          <w:b/>
          <w:sz w:val="26"/>
          <w:szCs w:val="26"/>
          <w:lang w:val="vi-VN"/>
        </w:rPr>
        <w:t>I</w:t>
      </w:r>
      <w:r w:rsidRPr="007F0122">
        <w:rPr>
          <w:b/>
          <w:sz w:val="26"/>
          <w:szCs w:val="26"/>
        </w:rPr>
        <w:t>I</w:t>
      </w:r>
      <w:r w:rsidRPr="007F0122">
        <w:rPr>
          <w:b/>
          <w:sz w:val="26"/>
          <w:szCs w:val="26"/>
          <w:lang w:val="vi-VN"/>
        </w:rPr>
        <w:t xml:space="preserve">. </w:t>
      </w:r>
      <w:r w:rsidRPr="007F0122">
        <w:rPr>
          <w:b/>
          <w:sz w:val="26"/>
          <w:szCs w:val="26"/>
        </w:rPr>
        <w:t>ĐÁNH GIÁ TÌNH HÌNH TRIỂN KHAI THI HÀNH CÁC VĂN BẢN QUY PHẠM PHÁP LUẬT VỀ HỖ TRỢ KINH PHÍ CHO ĐÀO TẠO, BỒI DƯỠNG THEO ĐỀ ÁN 2012</w:t>
      </w:r>
    </w:p>
    <w:p w:rsidR="00C65589" w:rsidRPr="007F0122" w:rsidRDefault="00C65589" w:rsidP="00A22C2D">
      <w:pPr>
        <w:spacing w:before="120"/>
        <w:ind w:firstLine="567"/>
        <w:jc w:val="both"/>
        <w:outlineLvl w:val="0"/>
        <w:rPr>
          <w:b/>
          <w:sz w:val="26"/>
          <w:szCs w:val="26"/>
        </w:rPr>
      </w:pPr>
      <w:r w:rsidRPr="007F0122">
        <w:rPr>
          <w:b/>
          <w:sz w:val="26"/>
          <w:szCs w:val="26"/>
        </w:rPr>
        <w:t>1. Xem xét, đánh giá tính kịp thời, đầy đủ của việc ban hành văn bản quy định chi tiết</w:t>
      </w:r>
    </w:p>
    <w:p w:rsidR="002920A6" w:rsidRPr="007F0122" w:rsidRDefault="00E510C3" w:rsidP="00A22C2D">
      <w:pPr>
        <w:spacing w:before="120"/>
        <w:ind w:firstLine="567"/>
        <w:jc w:val="both"/>
        <w:outlineLvl w:val="0"/>
        <w:rPr>
          <w:color w:val="0070C0"/>
          <w:sz w:val="26"/>
          <w:szCs w:val="26"/>
        </w:rPr>
      </w:pPr>
      <w:r w:rsidRPr="007F0122">
        <w:rPr>
          <w:sz w:val="26"/>
          <w:szCs w:val="26"/>
        </w:rPr>
        <w:t xml:space="preserve">Căn cứ Quyết định số 2395/QĐ-TTg ngày 25 tháng 12 năm 2015 Thủ tướng Chính phủ về phê duyệt Đề án đào tạo, bồi dưỡng nhân lực khoa học và công nghệ ở trong nước và nước ngoài bằng ngân sách nhà nước, </w:t>
      </w:r>
      <w:r w:rsidR="00C75E34" w:rsidRPr="007F0122">
        <w:rPr>
          <w:sz w:val="26"/>
          <w:szCs w:val="26"/>
        </w:rPr>
        <w:t>Ủy ban nhân dân Thành phố đã ban hành Quyết định số 2012/QĐ-UBND ngày 26 tháng 4 năm 2017 về phê duyệt Đề án đào tạo, bồi dưỡng nhân lực khoa học và công nghệ thành phố Hồ Chí Minh giai đoạn 2017 – 2020</w:t>
      </w:r>
      <w:r w:rsidRPr="007F0122">
        <w:rPr>
          <w:sz w:val="26"/>
          <w:szCs w:val="26"/>
        </w:rPr>
        <w:t>.</w:t>
      </w:r>
      <w:r w:rsidR="00637D0D" w:rsidRPr="007F0122">
        <w:rPr>
          <w:sz w:val="26"/>
          <w:szCs w:val="26"/>
        </w:rPr>
        <w:t xml:space="preserve"> </w:t>
      </w:r>
      <w:r w:rsidRPr="007F0122">
        <w:rPr>
          <w:sz w:val="26"/>
          <w:szCs w:val="26"/>
        </w:rPr>
        <w:t>T</w:t>
      </w:r>
      <w:r w:rsidR="00637D0D" w:rsidRPr="007F0122">
        <w:rPr>
          <w:sz w:val="26"/>
          <w:szCs w:val="26"/>
        </w:rPr>
        <w:t>rong đó</w:t>
      </w:r>
      <w:r w:rsidRPr="007F0122">
        <w:rPr>
          <w:sz w:val="26"/>
          <w:szCs w:val="26"/>
        </w:rPr>
        <w:t>,</w:t>
      </w:r>
      <w:r w:rsidR="00637D0D" w:rsidRPr="007F0122">
        <w:rPr>
          <w:sz w:val="26"/>
          <w:szCs w:val="26"/>
        </w:rPr>
        <w:t xml:space="preserve"> quy định về hỗ trợ</w:t>
      </w:r>
      <w:r w:rsidR="00A31BC7" w:rsidRPr="007F0122">
        <w:rPr>
          <w:sz w:val="26"/>
          <w:szCs w:val="26"/>
        </w:rPr>
        <w:t xml:space="preserve"> kinh phí</w:t>
      </w:r>
      <w:r w:rsidR="00637D0D" w:rsidRPr="007F0122">
        <w:rPr>
          <w:sz w:val="26"/>
          <w:szCs w:val="26"/>
        </w:rPr>
        <w:t xml:space="preserve"> đào tạo, bồi dưỡng nguồn nhân lực </w:t>
      </w:r>
      <w:r w:rsidR="00C34933" w:rsidRPr="007F0122">
        <w:rPr>
          <w:sz w:val="26"/>
          <w:szCs w:val="26"/>
        </w:rPr>
        <w:t>khoa học và công nghệ Thành phố</w:t>
      </w:r>
      <w:r w:rsidR="00F52AE3" w:rsidRPr="007F0122">
        <w:rPr>
          <w:sz w:val="26"/>
          <w:szCs w:val="26"/>
        </w:rPr>
        <w:t xml:space="preserve"> từ nguồn kinh phí sự nghiệp khoa học và công nghệ của Thành phố.</w:t>
      </w:r>
    </w:p>
    <w:p w:rsidR="00693623" w:rsidRPr="007F0122" w:rsidRDefault="002920A6" w:rsidP="00A22C2D">
      <w:pPr>
        <w:spacing w:before="120"/>
        <w:ind w:firstLine="567"/>
        <w:jc w:val="both"/>
        <w:outlineLvl w:val="0"/>
        <w:rPr>
          <w:b/>
          <w:sz w:val="26"/>
          <w:szCs w:val="26"/>
        </w:rPr>
      </w:pPr>
      <w:r w:rsidRPr="007F0122">
        <w:rPr>
          <w:color w:val="0070C0"/>
          <w:sz w:val="26"/>
          <w:szCs w:val="26"/>
        </w:rPr>
        <w:t xml:space="preserve"> </w:t>
      </w:r>
      <w:r w:rsidR="00693623" w:rsidRPr="007F0122">
        <w:rPr>
          <w:b/>
          <w:sz w:val="26"/>
          <w:szCs w:val="26"/>
        </w:rPr>
        <w:t>2. Đánh giá tính thống nhất, đồng bộ, khả thi của văn bản quy phạm pháp luật về hỗ trợ kinh phí cho đào tạo, bồi dưỡng theo Đề án 2012</w:t>
      </w:r>
    </w:p>
    <w:p w:rsidR="00693623" w:rsidRPr="007F0122" w:rsidRDefault="00693623" w:rsidP="00A22C2D">
      <w:pPr>
        <w:spacing w:before="120"/>
        <w:ind w:firstLine="567"/>
        <w:jc w:val="both"/>
        <w:outlineLvl w:val="0"/>
        <w:rPr>
          <w:sz w:val="26"/>
          <w:szCs w:val="26"/>
        </w:rPr>
      </w:pPr>
      <w:r w:rsidRPr="007F0122">
        <w:rPr>
          <w:sz w:val="26"/>
          <w:szCs w:val="26"/>
        </w:rPr>
        <w:t>Ngày 30 tháng 3 năm 2018, Bộ Tài chính ban hành Thông tư số 36/2018/TT-BTC hướng dẫn việc lập dự toán, quản lý, sử dụng và quyết toán kinh phí dành cho công tác đào tạo, bồi dưỡng cán bộ, công chức, viên chức</w:t>
      </w:r>
      <w:r w:rsidR="00D97309" w:rsidRPr="007F0122">
        <w:rPr>
          <w:sz w:val="26"/>
          <w:szCs w:val="26"/>
        </w:rPr>
        <w:t xml:space="preserve"> và ngày 07 tháng 12 năm 2018 Hội đồng nhân dân Thành phố ban hành Nghị quyết số 29/2018/NQ-HĐND quy định về mức chi đào tạo, bồi dưỡng cán bộ, công chức, viên chức trên địa bàn thành phố Hồ Chí Minh</w:t>
      </w:r>
      <w:r w:rsidRPr="007F0122">
        <w:rPr>
          <w:sz w:val="26"/>
          <w:szCs w:val="26"/>
        </w:rPr>
        <w:t xml:space="preserve"> quy định </w:t>
      </w:r>
      <w:r w:rsidRPr="007F0122">
        <w:rPr>
          <w:i/>
          <w:sz w:val="26"/>
          <w:szCs w:val="26"/>
        </w:rPr>
        <w:t>Kinh phí đào tạo, bồi dưỡng viên chức được đảm bảo từ nguồn tài chính của đơn vị sự nghiệp công lập…</w:t>
      </w:r>
      <w:r w:rsidRPr="007F0122">
        <w:rPr>
          <w:sz w:val="26"/>
          <w:szCs w:val="26"/>
        </w:rPr>
        <w:t xml:space="preserve">. </w:t>
      </w:r>
    </w:p>
    <w:p w:rsidR="00C75E34" w:rsidRPr="007F0122" w:rsidRDefault="00693623" w:rsidP="00A22C2D">
      <w:pPr>
        <w:spacing w:before="120"/>
        <w:ind w:firstLine="567"/>
        <w:jc w:val="both"/>
        <w:outlineLvl w:val="0"/>
        <w:rPr>
          <w:sz w:val="26"/>
          <w:szCs w:val="26"/>
        </w:rPr>
      </w:pPr>
      <w:r w:rsidRPr="007F0122">
        <w:rPr>
          <w:sz w:val="26"/>
          <w:szCs w:val="26"/>
        </w:rPr>
        <w:t xml:space="preserve">Vì vậy, ngoài đối tượng là cán bộ, công chức thì Đề án 2012 không thể tiếp tục triển khai để hỗ trợ cho các đối tượng là chuyên gia, cán bộ khoa học và công nghệ, cán bộ quản lý khoa học và công nghệ làm việc tại các </w:t>
      </w:r>
      <w:r w:rsidR="00FD4E30" w:rsidRPr="004E5017">
        <w:rPr>
          <w:sz w:val="26"/>
          <w:szCs w:val="26"/>
          <w:lang w:val="en-GB"/>
        </w:rPr>
        <w:t>trường, viện, phòng thí nghiệm,</w:t>
      </w:r>
      <w:r w:rsidR="00FD4E30">
        <w:rPr>
          <w:sz w:val="26"/>
          <w:szCs w:val="26"/>
          <w:lang w:val="en-GB"/>
        </w:rPr>
        <w:t xml:space="preserve"> </w:t>
      </w:r>
      <w:r w:rsidRPr="007F0122">
        <w:rPr>
          <w:sz w:val="26"/>
          <w:szCs w:val="26"/>
        </w:rPr>
        <w:t>tổ chức khoa học và công nghệ công lập, ngoài công lập và doanh nghiệp từ nguồn kinh phí sự nghiệp khoa học và công nghệ của Thành phố.</w:t>
      </w:r>
    </w:p>
    <w:p w:rsidR="001713D3" w:rsidRDefault="001713D3" w:rsidP="00A22C2D">
      <w:pPr>
        <w:spacing w:before="120"/>
        <w:ind w:firstLine="567"/>
        <w:jc w:val="both"/>
        <w:outlineLvl w:val="0"/>
        <w:rPr>
          <w:b/>
          <w:sz w:val="26"/>
          <w:szCs w:val="26"/>
        </w:rPr>
      </w:pPr>
    </w:p>
    <w:p w:rsidR="00637D0D" w:rsidRPr="007F0122" w:rsidRDefault="001C5BA9" w:rsidP="00A22C2D">
      <w:pPr>
        <w:spacing w:before="120"/>
        <w:ind w:firstLine="567"/>
        <w:jc w:val="both"/>
        <w:outlineLvl w:val="0"/>
        <w:rPr>
          <w:b/>
          <w:sz w:val="26"/>
          <w:szCs w:val="26"/>
        </w:rPr>
      </w:pPr>
      <w:r w:rsidRPr="007F0122">
        <w:rPr>
          <w:b/>
          <w:sz w:val="26"/>
          <w:szCs w:val="26"/>
        </w:rPr>
        <w:lastRenderedPageBreak/>
        <w:t xml:space="preserve">III. ĐÁNH GIÁ TÌNH HÌNH </w:t>
      </w:r>
      <w:r w:rsidR="00850A5F" w:rsidRPr="007F0122">
        <w:rPr>
          <w:b/>
          <w:sz w:val="26"/>
          <w:szCs w:val="26"/>
        </w:rPr>
        <w:t>BẢO ĐẢM ĐIỀU KIỆN CHO THI HÀNH PHÁP LUẬT VỀ HỖ TRỢ KINH PHI CHO ĐÀO TẠO, BỒI DƯỠNG THEO ĐỀ ÁN 2012</w:t>
      </w:r>
    </w:p>
    <w:p w:rsidR="00F83A0F" w:rsidRDefault="007878BC" w:rsidP="00A22C2D">
      <w:pPr>
        <w:spacing w:before="120"/>
        <w:ind w:firstLine="567"/>
        <w:jc w:val="both"/>
        <w:outlineLvl w:val="0"/>
        <w:rPr>
          <w:sz w:val="26"/>
          <w:szCs w:val="26"/>
        </w:rPr>
      </w:pPr>
      <w:r w:rsidRPr="007F0122">
        <w:rPr>
          <w:sz w:val="26"/>
          <w:szCs w:val="26"/>
        </w:rPr>
        <w:t xml:space="preserve">Để có căn cứ pháp lý hỗ trợ kinh phí cho đào tạo, bồi dưỡng </w:t>
      </w:r>
      <w:r w:rsidR="00E74535" w:rsidRPr="007F0122">
        <w:rPr>
          <w:sz w:val="26"/>
          <w:szCs w:val="26"/>
        </w:rPr>
        <w:t>chuyên gia, cán bộ khoa học và công nghệ, cán bộ quản lý khoa học và công nghệ làm việc tại các</w:t>
      </w:r>
      <w:r w:rsidR="00FD4E30" w:rsidRPr="00FD4E30">
        <w:rPr>
          <w:sz w:val="26"/>
          <w:szCs w:val="26"/>
          <w:lang w:val="en-GB"/>
        </w:rPr>
        <w:t xml:space="preserve"> </w:t>
      </w:r>
      <w:r w:rsidR="00FD4E30" w:rsidRPr="004E5017">
        <w:rPr>
          <w:sz w:val="26"/>
          <w:szCs w:val="26"/>
          <w:lang w:val="en-GB"/>
        </w:rPr>
        <w:t>trường, viện, phòng thí nghiệm,</w:t>
      </w:r>
      <w:r w:rsidR="00FD4E30">
        <w:rPr>
          <w:sz w:val="26"/>
          <w:szCs w:val="26"/>
          <w:lang w:val="en-GB"/>
        </w:rPr>
        <w:t xml:space="preserve"> </w:t>
      </w:r>
      <w:r w:rsidR="00E74535" w:rsidRPr="007F0122">
        <w:rPr>
          <w:sz w:val="26"/>
          <w:szCs w:val="26"/>
        </w:rPr>
        <w:t xml:space="preserve">tổ chức khoa học và công nghệ </w:t>
      </w:r>
      <w:r w:rsidR="00F14822" w:rsidRPr="007F0122">
        <w:rPr>
          <w:sz w:val="26"/>
          <w:szCs w:val="26"/>
        </w:rPr>
        <w:t xml:space="preserve">công lập, ngoài công lập và doanh nghiệp </w:t>
      </w:r>
      <w:r w:rsidRPr="007F0122">
        <w:rPr>
          <w:sz w:val="26"/>
          <w:szCs w:val="26"/>
        </w:rPr>
        <w:t xml:space="preserve">theo Đề án 2012, cần thiết phải đề xuất Hội đồng nhân dân Thành phố ban hành Nghị quyết </w:t>
      </w:r>
      <w:r w:rsidR="00F14822" w:rsidRPr="007F0122">
        <w:rPr>
          <w:sz w:val="26"/>
          <w:szCs w:val="26"/>
        </w:rPr>
        <w:t xml:space="preserve">hỗ trợ kinh phí cho đào tạo, bồi </w:t>
      </w:r>
      <w:r w:rsidR="00E30515">
        <w:rPr>
          <w:sz w:val="26"/>
          <w:szCs w:val="26"/>
        </w:rPr>
        <w:t>dưỡng theo Đề án 2012. Trong đó, các nội dung gồm:</w:t>
      </w:r>
      <w:r w:rsidR="00F14822" w:rsidRPr="007F0122">
        <w:rPr>
          <w:sz w:val="26"/>
          <w:szCs w:val="26"/>
        </w:rPr>
        <w:t xml:space="preserve"> </w:t>
      </w:r>
    </w:p>
    <w:p w:rsidR="00E30515" w:rsidRPr="00E30515" w:rsidRDefault="00E30515" w:rsidP="00A22C2D">
      <w:pPr>
        <w:widowControl w:val="0"/>
        <w:spacing w:before="120"/>
        <w:ind w:right="-3" w:firstLine="567"/>
        <w:jc w:val="both"/>
        <w:rPr>
          <w:sz w:val="26"/>
          <w:szCs w:val="26"/>
        </w:rPr>
      </w:pPr>
      <w:r>
        <w:rPr>
          <w:sz w:val="26"/>
          <w:szCs w:val="26"/>
        </w:rPr>
        <w:t xml:space="preserve">- Được sử dụng kinh phí từ </w:t>
      </w:r>
      <w:r w:rsidRPr="00E30515">
        <w:rPr>
          <w:sz w:val="26"/>
          <w:szCs w:val="26"/>
        </w:rPr>
        <w:t xml:space="preserve">nguồn kinh phí sự nghiệp khoa học và công nghệ của Thành phố </w:t>
      </w:r>
      <w:r>
        <w:rPr>
          <w:sz w:val="26"/>
          <w:szCs w:val="26"/>
        </w:rPr>
        <w:t>để</w:t>
      </w:r>
      <w:r w:rsidRPr="00E30515">
        <w:rPr>
          <w:sz w:val="26"/>
          <w:szCs w:val="26"/>
        </w:rPr>
        <w:t xml:space="preserve"> hỗ trợ đào tạo, bồi dưỡng các đối tượng theo Đề án 2012. </w:t>
      </w:r>
    </w:p>
    <w:p w:rsidR="00F6543C" w:rsidRPr="00F6543C" w:rsidRDefault="00E30515" w:rsidP="00A22C2D">
      <w:pPr>
        <w:pStyle w:val="Bodytext1"/>
        <w:shd w:val="clear" w:color="auto" w:fill="auto"/>
        <w:spacing w:before="120" w:line="240" w:lineRule="auto"/>
        <w:ind w:left="20" w:right="40" w:firstLine="567"/>
        <w:jc w:val="both"/>
        <w:rPr>
          <w:rFonts w:ascii="Times New Roman" w:hAnsi="Times New Roman" w:cs="Times New Roman"/>
          <w:color w:val="0070C0"/>
          <w:sz w:val="26"/>
          <w:szCs w:val="26"/>
        </w:rPr>
      </w:pPr>
      <w:r w:rsidRPr="00F6543C">
        <w:rPr>
          <w:rFonts w:ascii="Times New Roman" w:hAnsi="Times New Roman" w:cs="Times New Roman"/>
          <w:sz w:val="26"/>
          <w:szCs w:val="26"/>
        </w:rPr>
        <w:t xml:space="preserve">- </w:t>
      </w:r>
      <w:r w:rsidR="00F6543C" w:rsidRPr="00F6543C">
        <w:rPr>
          <w:rFonts w:ascii="Times New Roman" w:hAnsi="Times New Roman" w:cs="Times New Roman"/>
          <w:color w:val="0070C0"/>
          <w:sz w:val="26"/>
          <w:szCs w:val="26"/>
        </w:rPr>
        <w:t xml:space="preserve">Được áp dụng mức chi theo quy định tại Điều 7 Chương III Quy định Nghị quyết 29 về mức chi đào tạo, bồi dưỡng các bộ, công chức ở nước ngoài cho các đối tượng theo Đề án 2012. </w:t>
      </w:r>
      <w:r w:rsidR="00F6543C" w:rsidRPr="00F6543C">
        <w:rPr>
          <w:rFonts w:ascii="Times New Roman" w:hAnsi="Times New Roman" w:cs="Times New Roman"/>
          <w:color w:val="0070C0"/>
          <w:sz w:val="26"/>
          <w:szCs w:val="26"/>
          <w:lang w:val="en-US"/>
        </w:rPr>
        <w:t>R</w:t>
      </w:r>
      <w:r w:rsidR="00F6543C" w:rsidRPr="00F6543C">
        <w:rPr>
          <w:rFonts w:ascii="Times New Roman" w:hAnsi="Times New Roman" w:cs="Times New Roman"/>
          <w:color w:val="0070C0"/>
          <w:sz w:val="26"/>
          <w:szCs w:val="26"/>
        </w:rPr>
        <w:t xml:space="preserve">iêng đối với mức sinh hoạt phí đào tạo, bồi dưỡng dài hạn (trên 6 tháng) ở nước ngoài, được </w:t>
      </w:r>
      <w:r w:rsidR="00F6543C" w:rsidRPr="00F6543C">
        <w:rPr>
          <w:rFonts w:ascii="Times New Roman" w:hAnsi="Times New Roman" w:cs="Times New Roman"/>
          <w:color w:val="0070C0"/>
          <w:sz w:val="26"/>
          <w:szCs w:val="26"/>
          <w:lang w:val="en-US"/>
        </w:rPr>
        <w:t>vận</w:t>
      </w:r>
      <w:r w:rsidR="00F6543C" w:rsidRPr="00F6543C">
        <w:rPr>
          <w:rFonts w:ascii="Times New Roman" w:hAnsi="Times New Roman" w:cs="Times New Roman"/>
          <w:color w:val="0070C0"/>
          <w:sz w:val="26"/>
          <w:szCs w:val="26"/>
        </w:rPr>
        <w:t xml:space="preserve"> dụng theo Khoản 3 Điều 4 Thông tư số 88/2017/TT-BTC ngày 22 tháng 8 năm 2017 của Bộ Tài chính hướng dẫn cơ chế tài chính thực hiện Đề án đào tạo, bồi dưỡng nhân lực khoa học và công nghệ ở trong nước và nước ngoài bằng ngân sách nhà nước.</w:t>
      </w:r>
    </w:p>
    <w:p w:rsidR="008005B5" w:rsidRPr="0081225D" w:rsidRDefault="00F6543C" w:rsidP="00A22C2D">
      <w:pPr>
        <w:pStyle w:val="Bodytext1"/>
        <w:shd w:val="clear" w:color="auto" w:fill="auto"/>
        <w:spacing w:before="120" w:line="240" w:lineRule="auto"/>
        <w:ind w:left="20" w:right="40" w:firstLine="567"/>
        <w:jc w:val="both"/>
        <w:rPr>
          <w:sz w:val="26"/>
          <w:szCs w:val="26"/>
        </w:rPr>
      </w:pPr>
      <w:r w:rsidRPr="00F6543C">
        <w:rPr>
          <w:rFonts w:ascii="Times New Roman" w:hAnsi="Times New Roman" w:cs="Times New Roman"/>
          <w:i/>
          <w:color w:val="0070C0"/>
          <w:sz w:val="26"/>
          <w:szCs w:val="26"/>
          <w:lang w:val="en-US"/>
        </w:rPr>
        <w:t xml:space="preserve">(Do mức sinh hoạt phí quy định tại Nghị quyết 29 căn cứ theo </w:t>
      </w:r>
      <w:r w:rsidRPr="00F6543C">
        <w:rPr>
          <w:rFonts w:ascii="Times New Roman" w:hAnsi="Times New Roman" w:cs="Times New Roman"/>
          <w:i/>
          <w:color w:val="0070C0"/>
          <w:sz w:val="26"/>
          <w:szCs w:val="26"/>
        </w:rPr>
        <w:t xml:space="preserve">Thông tư của Bộ Tài chính quy định chế độ công tác phí cho cán bộ, công chức nhà nước đi công tác ngắn hạn ở nước ngoài do ngân sách nhà nước bảo đảm kinh phí </w:t>
      </w:r>
      <w:r w:rsidRPr="00F6543C">
        <w:rPr>
          <w:rFonts w:ascii="Times New Roman" w:hAnsi="Times New Roman" w:cs="Times New Roman"/>
          <w:b/>
          <w:i/>
          <w:color w:val="0070C0"/>
          <w:sz w:val="26"/>
          <w:szCs w:val="26"/>
        </w:rPr>
        <w:t>chỉ áp dụng đối với đi công tác bồi dưỡng ngắn hạn ở nước ngoài không quá 180 ngày (6 tháng)</w:t>
      </w:r>
      <w:r w:rsidRPr="00F6543C">
        <w:rPr>
          <w:rFonts w:ascii="Times New Roman" w:hAnsi="Times New Roman" w:cs="Times New Roman"/>
          <w:i/>
          <w:color w:val="0070C0"/>
          <w:sz w:val="26"/>
          <w:szCs w:val="26"/>
          <w:lang w:val="en-US"/>
        </w:rPr>
        <w:t xml:space="preserve"> và không áp dụng đối với trường hợp trên 6 tháng. Vì vậy, về mức sinh hoạt phí đối với đào tạo, bồi dưỡng dài hạn (trên 6 tháng) ở nước ngoài đề xuất được vận</w:t>
      </w:r>
      <w:r w:rsidRPr="00F6543C">
        <w:rPr>
          <w:rFonts w:ascii="Times New Roman" w:hAnsi="Times New Roman" w:cs="Times New Roman"/>
          <w:i/>
          <w:color w:val="0070C0"/>
          <w:sz w:val="26"/>
          <w:szCs w:val="26"/>
        </w:rPr>
        <w:t xml:space="preserve"> dụng quy định tại Khoản 3</w:t>
      </w:r>
      <w:r w:rsidRPr="00F6543C">
        <w:rPr>
          <w:rFonts w:ascii="Times New Roman" w:hAnsi="Times New Roman" w:cs="Times New Roman"/>
          <w:i/>
          <w:color w:val="0070C0"/>
          <w:sz w:val="26"/>
          <w:szCs w:val="26"/>
          <w:lang w:val="en-US"/>
        </w:rPr>
        <w:t xml:space="preserve"> </w:t>
      </w:r>
      <w:r w:rsidRPr="00F6543C">
        <w:rPr>
          <w:rFonts w:ascii="Times New Roman" w:hAnsi="Times New Roman" w:cs="Times New Roman"/>
          <w:i/>
          <w:color w:val="0070C0"/>
          <w:sz w:val="26"/>
          <w:szCs w:val="26"/>
        </w:rPr>
        <w:t xml:space="preserve">Điều 4 </w:t>
      </w:r>
      <w:r w:rsidRPr="00F6543C">
        <w:rPr>
          <w:rFonts w:ascii="Times New Roman" w:hAnsi="Times New Roman" w:cs="Times New Roman"/>
          <w:i/>
          <w:iCs/>
          <w:color w:val="0070C0"/>
          <w:sz w:val="26"/>
          <w:szCs w:val="26"/>
          <w:lang w:val="en-US"/>
        </w:rPr>
        <w:t>Thông tư số 88/2017/TT-BTC ngày 22 tháng 8 năm 2017 của Bộ Tài chính.)</w:t>
      </w:r>
    </w:p>
    <w:p w:rsidR="007F0122" w:rsidRPr="00E0745B" w:rsidRDefault="007F0122" w:rsidP="00A22C2D">
      <w:pPr>
        <w:spacing w:before="120"/>
        <w:ind w:firstLine="567"/>
        <w:jc w:val="both"/>
        <w:outlineLvl w:val="0"/>
        <w:rPr>
          <w:b/>
          <w:sz w:val="26"/>
          <w:szCs w:val="26"/>
        </w:rPr>
      </w:pPr>
      <w:r w:rsidRPr="00E0745B">
        <w:rPr>
          <w:b/>
          <w:sz w:val="26"/>
          <w:szCs w:val="26"/>
        </w:rPr>
        <w:t>IV. ĐỀ XUẤT KIẾN NGHỊ</w:t>
      </w:r>
    </w:p>
    <w:p w:rsidR="007F0122" w:rsidRPr="007F0122" w:rsidRDefault="00665AE9" w:rsidP="00A22C2D">
      <w:pPr>
        <w:spacing w:before="120"/>
        <w:ind w:firstLine="567"/>
        <w:jc w:val="both"/>
        <w:outlineLvl w:val="0"/>
        <w:rPr>
          <w:sz w:val="26"/>
          <w:szCs w:val="26"/>
        </w:rPr>
      </w:pPr>
      <w:r>
        <w:rPr>
          <w:sz w:val="26"/>
          <w:szCs w:val="26"/>
        </w:rPr>
        <w:t>Căn cứ vào tình hình bảo đảm điều kiện cho thi hành pháp luật về hỗ trợ kinh phí cho đào tạo, bồi dưỡng theo Đề án 2012, Sở trình Ủy ban nhân dân Thành phố đề xuất Hội đồng nhân dân ban hành Nghị quyết hỗ trợ kinh phí cho đào tạo</w:t>
      </w:r>
      <w:r w:rsidR="00ED46AA">
        <w:rPr>
          <w:sz w:val="26"/>
          <w:szCs w:val="26"/>
        </w:rPr>
        <w:t>, bồi dưỡng theo Đề án 2012.</w:t>
      </w:r>
      <w:r>
        <w:rPr>
          <w:sz w:val="26"/>
          <w:szCs w:val="26"/>
        </w:rPr>
        <w:t xml:space="preserve"> </w:t>
      </w:r>
    </w:p>
    <w:p w:rsidR="00647229" w:rsidRPr="007F0122" w:rsidRDefault="00647229" w:rsidP="007F0122">
      <w:pPr>
        <w:spacing w:before="120" w:after="120"/>
        <w:rPr>
          <w:sz w:val="26"/>
          <w:szCs w:val="26"/>
        </w:rPr>
      </w:pPr>
      <w:bookmarkStart w:id="0" w:name="_GoBack"/>
      <w:bookmarkEnd w:id="0"/>
    </w:p>
    <w:sectPr w:rsidR="00647229" w:rsidRPr="007F0122" w:rsidSect="00404BA2">
      <w:footerReference w:type="default" r:id="rId7"/>
      <w:pgSz w:w="11906" w:h="16838" w:code="9"/>
      <w:pgMar w:top="1134" w:right="1134" w:bottom="1134" w:left="170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290" w:rsidRDefault="00DA1290" w:rsidP="008214E8">
      <w:r>
        <w:separator/>
      </w:r>
    </w:p>
  </w:endnote>
  <w:endnote w:type="continuationSeparator" w:id="0">
    <w:p w:rsidR="00DA1290" w:rsidRDefault="00DA1290" w:rsidP="00821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85212"/>
      <w:docPartObj>
        <w:docPartGallery w:val="Page Numbers (Bottom of Page)"/>
        <w:docPartUnique/>
      </w:docPartObj>
    </w:sdtPr>
    <w:sdtEndPr/>
    <w:sdtContent>
      <w:p w:rsidR="00B24394" w:rsidRDefault="000A563C">
        <w:pPr>
          <w:pStyle w:val="Footer"/>
          <w:jc w:val="center"/>
        </w:pPr>
        <w:r>
          <w:fldChar w:fldCharType="begin"/>
        </w:r>
        <w:r>
          <w:instrText xml:space="preserve"> PAGE   \* MERGEFORMAT </w:instrText>
        </w:r>
        <w:r>
          <w:fldChar w:fldCharType="separate"/>
        </w:r>
        <w:r w:rsidR="00A22C2D">
          <w:rPr>
            <w:noProof/>
          </w:rPr>
          <w:t>1</w:t>
        </w:r>
        <w:r>
          <w:rPr>
            <w:noProof/>
          </w:rPr>
          <w:fldChar w:fldCharType="end"/>
        </w:r>
      </w:p>
    </w:sdtContent>
  </w:sdt>
  <w:p w:rsidR="008214E8" w:rsidRDefault="008214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290" w:rsidRDefault="00DA1290" w:rsidP="008214E8">
      <w:r>
        <w:separator/>
      </w:r>
    </w:p>
  </w:footnote>
  <w:footnote w:type="continuationSeparator" w:id="0">
    <w:p w:rsidR="00DA1290" w:rsidRDefault="00DA1290" w:rsidP="008214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62266"/>
    <w:multiLevelType w:val="hybridMultilevel"/>
    <w:tmpl w:val="1DE8A032"/>
    <w:lvl w:ilvl="0" w:tplc="4EB25E7C">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65589"/>
    <w:rsid w:val="00053702"/>
    <w:rsid w:val="00066053"/>
    <w:rsid w:val="000A563C"/>
    <w:rsid w:val="000D4458"/>
    <w:rsid w:val="0016255D"/>
    <w:rsid w:val="001707E0"/>
    <w:rsid w:val="001713D3"/>
    <w:rsid w:val="0019016B"/>
    <w:rsid w:val="001C5BA9"/>
    <w:rsid w:val="001D7CDE"/>
    <w:rsid w:val="001F3924"/>
    <w:rsid w:val="00226553"/>
    <w:rsid w:val="00232550"/>
    <w:rsid w:val="002555E3"/>
    <w:rsid w:val="00281A9B"/>
    <w:rsid w:val="002920A6"/>
    <w:rsid w:val="002F4483"/>
    <w:rsid w:val="00322D0A"/>
    <w:rsid w:val="00335C8F"/>
    <w:rsid w:val="003675AC"/>
    <w:rsid w:val="003F07DB"/>
    <w:rsid w:val="00404BA2"/>
    <w:rsid w:val="00474DCD"/>
    <w:rsid w:val="004B7CEE"/>
    <w:rsid w:val="00510A51"/>
    <w:rsid w:val="0051706A"/>
    <w:rsid w:val="00552D1E"/>
    <w:rsid w:val="00597295"/>
    <w:rsid w:val="005B0D87"/>
    <w:rsid w:val="00611918"/>
    <w:rsid w:val="00615305"/>
    <w:rsid w:val="00637D0D"/>
    <w:rsid w:val="00647229"/>
    <w:rsid w:val="00665AE9"/>
    <w:rsid w:val="00693623"/>
    <w:rsid w:val="006F2C55"/>
    <w:rsid w:val="007206A1"/>
    <w:rsid w:val="0076284F"/>
    <w:rsid w:val="007878BC"/>
    <w:rsid w:val="007A7179"/>
    <w:rsid w:val="007D2266"/>
    <w:rsid w:val="007F0122"/>
    <w:rsid w:val="008005B5"/>
    <w:rsid w:val="00820970"/>
    <w:rsid w:val="008214E8"/>
    <w:rsid w:val="00850A5F"/>
    <w:rsid w:val="00890CAD"/>
    <w:rsid w:val="008E26D6"/>
    <w:rsid w:val="009016AE"/>
    <w:rsid w:val="00921637"/>
    <w:rsid w:val="0093046D"/>
    <w:rsid w:val="00990250"/>
    <w:rsid w:val="00A22C2D"/>
    <w:rsid w:val="00A31BC7"/>
    <w:rsid w:val="00AA47C5"/>
    <w:rsid w:val="00B24394"/>
    <w:rsid w:val="00B32E76"/>
    <w:rsid w:val="00C21D5B"/>
    <w:rsid w:val="00C34933"/>
    <w:rsid w:val="00C35409"/>
    <w:rsid w:val="00C40698"/>
    <w:rsid w:val="00C65589"/>
    <w:rsid w:val="00C65BD2"/>
    <w:rsid w:val="00C75E34"/>
    <w:rsid w:val="00D15401"/>
    <w:rsid w:val="00D654A0"/>
    <w:rsid w:val="00D97309"/>
    <w:rsid w:val="00DA1290"/>
    <w:rsid w:val="00DF5D8C"/>
    <w:rsid w:val="00E0745B"/>
    <w:rsid w:val="00E30515"/>
    <w:rsid w:val="00E510C3"/>
    <w:rsid w:val="00E74535"/>
    <w:rsid w:val="00ED3A22"/>
    <w:rsid w:val="00ED46AA"/>
    <w:rsid w:val="00F14822"/>
    <w:rsid w:val="00F3116F"/>
    <w:rsid w:val="00F31F87"/>
    <w:rsid w:val="00F3740D"/>
    <w:rsid w:val="00F52AE3"/>
    <w:rsid w:val="00F55679"/>
    <w:rsid w:val="00F6543C"/>
    <w:rsid w:val="00F83A0F"/>
    <w:rsid w:val="00FD4E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74DB83B-B7D2-4974-B07A-F6F8051AE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5589"/>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5589"/>
    <w:pPr>
      <w:ind w:left="720"/>
      <w:contextualSpacing/>
    </w:pPr>
  </w:style>
  <w:style w:type="paragraph" w:styleId="BalloonText">
    <w:name w:val="Balloon Text"/>
    <w:basedOn w:val="Normal"/>
    <w:link w:val="BalloonTextChar"/>
    <w:uiPriority w:val="99"/>
    <w:semiHidden/>
    <w:unhideWhenUsed/>
    <w:rsid w:val="002555E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55E3"/>
    <w:rPr>
      <w:rFonts w:ascii="Segoe UI" w:eastAsia="Times New Roman" w:hAnsi="Segoe UI" w:cs="Segoe UI"/>
      <w:sz w:val="18"/>
      <w:szCs w:val="18"/>
      <w:lang w:val="en-US"/>
    </w:rPr>
  </w:style>
  <w:style w:type="paragraph" w:styleId="Header">
    <w:name w:val="header"/>
    <w:basedOn w:val="Normal"/>
    <w:link w:val="HeaderChar"/>
    <w:uiPriority w:val="99"/>
    <w:unhideWhenUsed/>
    <w:rsid w:val="008214E8"/>
    <w:pPr>
      <w:tabs>
        <w:tab w:val="center" w:pos="4513"/>
        <w:tab w:val="right" w:pos="9026"/>
      </w:tabs>
    </w:pPr>
  </w:style>
  <w:style w:type="character" w:customStyle="1" w:styleId="HeaderChar">
    <w:name w:val="Header Char"/>
    <w:basedOn w:val="DefaultParagraphFont"/>
    <w:link w:val="Header"/>
    <w:uiPriority w:val="99"/>
    <w:rsid w:val="008214E8"/>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8214E8"/>
    <w:pPr>
      <w:tabs>
        <w:tab w:val="center" w:pos="4513"/>
        <w:tab w:val="right" w:pos="9026"/>
      </w:tabs>
    </w:pPr>
  </w:style>
  <w:style w:type="character" w:customStyle="1" w:styleId="FooterChar">
    <w:name w:val="Footer Char"/>
    <w:basedOn w:val="DefaultParagraphFont"/>
    <w:link w:val="Footer"/>
    <w:uiPriority w:val="99"/>
    <w:rsid w:val="008214E8"/>
    <w:rPr>
      <w:rFonts w:ascii="Times New Roman" w:eastAsia="Times New Roman" w:hAnsi="Times New Roman" w:cs="Times New Roman"/>
      <w:sz w:val="24"/>
      <w:szCs w:val="24"/>
      <w:lang w:val="en-US"/>
    </w:rPr>
  </w:style>
  <w:style w:type="character" w:customStyle="1" w:styleId="Bodytext">
    <w:name w:val="Body text_"/>
    <w:basedOn w:val="DefaultParagraphFont"/>
    <w:link w:val="Bodytext1"/>
    <w:uiPriority w:val="99"/>
    <w:rsid w:val="00F6543C"/>
    <w:rPr>
      <w:sz w:val="27"/>
      <w:szCs w:val="27"/>
      <w:shd w:val="clear" w:color="auto" w:fill="FFFFFF"/>
    </w:rPr>
  </w:style>
  <w:style w:type="paragraph" w:customStyle="1" w:styleId="Bodytext1">
    <w:name w:val="Body text1"/>
    <w:basedOn w:val="Normal"/>
    <w:link w:val="Bodytext"/>
    <w:uiPriority w:val="99"/>
    <w:rsid w:val="00F6543C"/>
    <w:pPr>
      <w:widowControl w:val="0"/>
      <w:shd w:val="clear" w:color="auto" w:fill="FFFFFF"/>
      <w:spacing w:line="240" w:lineRule="atLeast"/>
      <w:jc w:val="center"/>
    </w:pPr>
    <w:rPr>
      <w:rFonts w:asciiTheme="minorHAnsi" w:eastAsiaTheme="minorHAnsi" w:hAnsiTheme="minorHAnsi" w:cstheme="minorBidi"/>
      <w:sz w:val="27"/>
      <w:szCs w:val="27"/>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508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4</Pages>
  <Words>1541</Words>
  <Characters>8785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97</cp:revision>
  <cp:lastPrinted>2019-03-05T04:30:00Z</cp:lastPrinted>
  <dcterms:created xsi:type="dcterms:W3CDTF">2019-02-26T06:27:00Z</dcterms:created>
  <dcterms:modified xsi:type="dcterms:W3CDTF">2019-03-12T07:20:00Z</dcterms:modified>
</cp:coreProperties>
</file>